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7FB316B" w14:textId="5D54A72A" w:rsidR="00CE793F" w:rsidRDefault="003175F6"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Industrial Boilers</w:t>
      </w:r>
    </w:p>
    <w:p w14:paraId="2A788768" w14:textId="488726FD" w:rsidR="003175F6" w:rsidRPr="006E6F01" w:rsidRDefault="003175F6"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(TOXC 226)</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5F291EB7" w:rsidR="007D02D7" w:rsidRPr="006E6F01" w:rsidRDefault="003175F6"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May 20</w:t>
      </w:r>
      <w:r w:rsidR="007E08ED"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 xml:space="preserve">, </w:t>
      </w:r>
      <w:r w:rsidR="00F05E05"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202</w:t>
      </w:r>
      <w:r w:rsidR="00691099" w:rsidRPr="006E6F01">
        <w:rPr>
          <w:rFonts w:asciiTheme="minorHAnsi" w:hAnsiTheme="minorHAnsi" w:cstheme="minorHAnsi"/>
          <w:color w:val="17365D" w:themeColor="text2" w:themeShade="BF"/>
          <w:sz w:val="40"/>
          <w:szCs w:val="40"/>
          <w14:textOutline w14:w="0" w14:cap="flat" w14:cmpd="sng" w14:algn="ctr">
            <w14:noFill/>
            <w14:prstDash w14:val="solid"/>
            <w14:round/>
          </w14:textOutline>
        </w:rPr>
        <w:t>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7B63830D"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3175F6">
        <w:rPr>
          <w:rFonts w:asciiTheme="minorHAnsi" w:hAnsiTheme="minorHAnsi" w:cstheme="minorHAnsi"/>
          <w:color w:val="17365D" w:themeColor="text2" w:themeShade="BF"/>
        </w:rPr>
        <w:t>April 17,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Default="006E6F01" w:rsidP="007D02D7">
      <w:pPr>
        <w:jc w:val="center"/>
        <w:rPr>
          <w:rFonts w:asciiTheme="minorHAnsi" w:hAnsiTheme="minorHAnsi" w:cstheme="minorHAnsi"/>
          <w:color w:val="17365D" w:themeColor="text2" w:themeShade="BF"/>
          <w:sz w:val="20"/>
          <w:szCs w:val="20"/>
        </w:rPr>
      </w:pPr>
    </w:p>
    <w:p w14:paraId="3D26BDA3" w14:textId="77777777" w:rsidR="003175F6" w:rsidRDefault="003175F6" w:rsidP="007D02D7">
      <w:pPr>
        <w:jc w:val="center"/>
        <w:rPr>
          <w:rFonts w:asciiTheme="minorHAnsi" w:hAnsiTheme="minorHAnsi" w:cstheme="minorHAnsi"/>
          <w:color w:val="17365D" w:themeColor="text2" w:themeShade="BF"/>
          <w:sz w:val="20"/>
          <w:szCs w:val="20"/>
        </w:rPr>
      </w:pPr>
    </w:p>
    <w:p w14:paraId="1DD554C1" w14:textId="77777777" w:rsidR="003175F6" w:rsidRPr="006E6F01" w:rsidRDefault="003175F6" w:rsidP="007D02D7">
      <w:pPr>
        <w:jc w:val="center"/>
        <w:rPr>
          <w:rFonts w:asciiTheme="minorHAnsi" w:hAnsiTheme="minorHAnsi" w:cstheme="minorHAnsi"/>
          <w:color w:val="17365D" w:themeColor="text2" w:themeShade="BF"/>
          <w:sz w:val="20"/>
          <w:szCs w:val="20"/>
        </w:rPr>
      </w:pPr>
    </w:p>
    <w:p w14:paraId="1CDDB580"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3BCB154B" w:rsidR="00964B29" w:rsidRPr="006E6F01" w:rsidRDefault="003175F6"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WEDNESDAY, MAY 20,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31FCAD75" w14:textId="7AF773F1"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9:00 am</w:t>
      </w:r>
      <w:r w:rsidRPr="003175F6">
        <w:rPr>
          <w:rFonts w:ascii="Calibri" w:hAnsi="Calibri"/>
          <w:color w:val="17365D" w:themeColor="text2" w:themeShade="BF"/>
          <w:sz w:val="20"/>
          <w:szCs w:val="20"/>
        </w:rPr>
        <w:tab/>
      </w:r>
      <w:r>
        <w:rPr>
          <w:rFonts w:ascii="Calibri" w:hAnsi="Calibri"/>
          <w:color w:val="17365D" w:themeColor="text2" w:themeShade="BF"/>
          <w:sz w:val="20"/>
          <w:szCs w:val="20"/>
        </w:rPr>
        <w:tab/>
      </w:r>
      <w:r w:rsidRPr="003175F6">
        <w:rPr>
          <w:rFonts w:ascii="Calibri" w:hAnsi="Calibri"/>
          <w:color w:val="17365D" w:themeColor="text2" w:themeShade="BF"/>
          <w:sz w:val="20"/>
          <w:szCs w:val="20"/>
        </w:rPr>
        <w:t>Introduction/Overview</w:t>
      </w:r>
    </w:p>
    <w:p w14:paraId="459720F8" w14:textId="0227E86E"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9:15 am</w:t>
      </w:r>
      <w:r w:rsidRPr="003175F6">
        <w:rPr>
          <w:rFonts w:ascii="Calibri" w:hAnsi="Calibri"/>
          <w:color w:val="17365D" w:themeColor="text2" w:themeShade="BF"/>
          <w:sz w:val="20"/>
          <w:szCs w:val="20"/>
        </w:rPr>
        <w:tab/>
      </w:r>
      <w:r>
        <w:rPr>
          <w:rFonts w:ascii="Calibri" w:hAnsi="Calibri"/>
          <w:color w:val="17365D" w:themeColor="text2" w:themeShade="BF"/>
          <w:sz w:val="20"/>
          <w:szCs w:val="20"/>
        </w:rPr>
        <w:tab/>
      </w:r>
      <w:r w:rsidRPr="003175F6">
        <w:rPr>
          <w:rFonts w:ascii="Calibri" w:hAnsi="Calibri"/>
          <w:color w:val="17365D" w:themeColor="text2" w:themeShade="BF"/>
          <w:sz w:val="20"/>
          <w:szCs w:val="20"/>
        </w:rPr>
        <w:t>Terminology &amp; Boiler Types</w:t>
      </w:r>
    </w:p>
    <w:p w14:paraId="51D89E2A" w14:textId="500C6B73"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9:30 am</w:t>
      </w:r>
      <w:r w:rsidRPr="003175F6">
        <w:rPr>
          <w:rFonts w:ascii="Calibri" w:hAnsi="Calibri"/>
          <w:color w:val="17365D" w:themeColor="text2" w:themeShade="BF"/>
          <w:sz w:val="20"/>
          <w:szCs w:val="20"/>
        </w:rPr>
        <w:tab/>
      </w:r>
      <w:r>
        <w:rPr>
          <w:rFonts w:ascii="Calibri" w:hAnsi="Calibri"/>
          <w:color w:val="17365D" w:themeColor="text2" w:themeShade="BF"/>
          <w:sz w:val="20"/>
          <w:szCs w:val="20"/>
        </w:rPr>
        <w:tab/>
      </w:r>
      <w:r w:rsidRPr="003175F6">
        <w:rPr>
          <w:rFonts w:ascii="Calibri" w:hAnsi="Calibri"/>
          <w:color w:val="17365D" w:themeColor="text2" w:themeShade="BF"/>
          <w:sz w:val="20"/>
          <w:szCs w:val="20"/>
        </w:rPr>
        <w:t>Theory &amp; Operation of Boilers</w:t>
      </w:r>
    </w:p>
    <w:p w14:paraId="7E388373" w14:textId="0782EA0F"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10:00 am</w:t>
      </w:r>
      <w:r w:rsidRPr="003175F6">
        <w:rPr>
          <w:rFonts w:ascii="Calibri" w:hAnsi="Calibri"/>
          <w:color w:val="17365D" w:themeColor="text2" w:themeShade="BF"/>
          <w:sz w:val="20"/>
          <w:szCs w:val="20"/>
        </w:rPr>
        <w:tab/>
        <w:t>Break</w:t>
      </w:r>
    </w:p>
    <w:p w14:paraId="5917DCF2" w14:textId="4459EC4F"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10:15 am</w:t>
      </w:r>
      <w:r w:rsidRPr="003175F6">
        <w:rPr>
          <w:rFonts w:ascii="Calibri" w:hAnsi="Calibri"/>
          <w:color w:val="17365D" w:themeColor="text2" w:themeShade="BF"/>
          <w:sz w:val="20"/>
          <w:szCs w:val="20"/>
        </w:rPr>
        <w:tab/>
        <w:t>Boiler Components &amp; Designs</w:t>
      </w:r>
    </w:p>
    <w:p w14:paraId="038407A9" w14:textId="48CB68A4"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11:00 am</w:t>
      </w:r>
      <w:r w:rsidRPr="003175F6">
        <w:rPr>
          <w:rFonts w:ascii="Calibri" w:hAnsi="Calibri"/>
          <w:color w:val="17365D" w:themeColor="text2" w:themeShade="BF"/>
          <w:sz w:val="20"/>
          <w:szCs w:val="20"/>
        </w:rPr>
        <w:tab/>
        <w:t>Break</w:t>
      </w:r>
    </w:p>
    <w:p w14:paraId="7B268667" w14:textId="3E7A4288"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11:00 am</w:t>
      </w:r>
      <w:r w:rsidRPr="003175F6">
        <w:rPr>
          <w:rFonts w:ascii="Calibri" w:hAnsi="Calibri"/>
          <w:color w:val="17365D" w:themeColor="text2" w:themeShade="BF"/>
          <w:sz w:val="20"/>
          <w:szCs w:val="20"/>
        </w:rPr>
        <w:tab/>
        <w:t>Emissions and Control Techniques</w:t>
      </w:r>
    </w:p>
    <w:p w14:paraId="0FFF1D79" w14:textId="77777777"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12:00 noon</w:t>
      </w:r>
      <w:r w:rsidRPr="003175F6">
        <w:rPr>
          <w:rFonts w:ascii="Calibri" w:hAnsi="Calibri"/>
          <w:color w:val="17365D" w:themeColor="text2" w:themeShade="BF"/>
          <w:sz w:val="20"/>
          <w:szCs w:val="20"/>
        </w:rPr>
        <w:tab/>
        <w:t>Lunch</w:t>
      </w:r>
    </w:p>
    <w:p w14:paraId="491A6EC4" w14:textId="77777777"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1:00 pm</w:t>
      </w:r>
      <w:r w:rsidRPr="003175F6">
        <w:rPr>
          <w:rFonts w:ascii="Calibri" w:hAnsi="Calibri"/>
          <w:color w:val="17365D" w:themeColor="text2" w:themeShade="BF"/>
          <w:sz w:val="20"/>
          <w:szCs w:val="20"/>
        </w:rPr>
        <w:tab/>
      </w:r>
      <w:r w:rsidRPr="003175F6">
        <w:rPr>
          <w:rFonts w:ascii="Calibri" w:hAnsi="Calibri"/>
          <w:color w:val="17365D" w:themeColor="text2" w:themeShade="BF"/>
          <w:sz w:val="20"/>
          <w:szCs w:val="20"/>
        </w:rPr>
        <w:tab/>
        <w:t>Boiler Regulations &amp; Permits</w:t>
      </w:r>
    </w:p>
    <w:p w14:paraId="16183DCE" w14:textId="77777777" w:rsidR="003175F6" w:rsidRPr="003175F6" w:rsidRDefault="003175F6" w:rsidP="003175F6">
      <w:pPr>
        <w:widowControl/>
        <w:autoSpaceDE/>
        <w:autoSpaceDN/>
        <w:adjustRightInd/>
        <w:spacing w:after="120"/>
        <w:rPr>
          <w:rFonts w:ascii="Calibri" w:hAnsi="Calibri"/>
          <w:color w:val="17365D" w:themeColor="text2" w:themeShade="BF"/>
          <w:sz w:val="20"/>
          <w:szCs w:val="20"/>
        </w:rPr>
      </w:pPr>
      <w:r w:rsidRPr="003175F6">
        <w:rPr>
          <w:rFonts w:ascii="Calibri" w:hAnsi="Calibri"/>
          <w:color w:val="17365D" w:themeColor="text2" w:themeShade="BF"/>
          <w:sz w:val="20"/>
          <w:szCs w:val="20"/>
        </w:rPr>
        <w:t>2:00 pm</w:t>
      </w:r>
      <w:r w:rsidRPr="003175F6">
        <w:rPr>
          <w:rFonts w:ascii="Calibri" w:hAnsi="Calibri"/>
          <w:color w:val="17365D" w:themeColor="text2" w:themeShade="BF"/>
          <w:sz w:val="20"/>
          <w:szCs w:val="20"/>
        </w:rPr>
        <w:tab/>
      </w:r>
      <w:r w:rsidRPr="003175F6">
        <w:rPr>
          <w:rFonts w:ascii="Calibri" w:hAnsi="Calibri"/>
          <w:color w:val="17365D" w:themeColor="text2" w:themeShade="BF"/>
          <w:sz w:val="20"/>
          <w:szCs w:val="20"/>
        </w:rPr>
        <w:tab/>
        <w:t>Monitoring, Source Testing, Inspections, and Safety</w:t>
      </w:r>
    </w:p>
    <w:p w14:paraId="3B07D131" w14:textId="77777777" w:rsidR="003175F6" w:rsidRPr="003175F6" w:rsidRDefault="003175F6" w:rsidP="003175F6">
      <w:pPr>
        <w:widowControl/>
        <w:autoSpaceDE/>
        <w:autoSpaceDN/>
        <w:adjustRightInd/>
        <w:spacing w:after="100" w:afterAutospacing="1"/>
        <w:rPr>
          <w:rFonts w:ascii="Calibri" w:hAnsi="Calibri"/>
          <w:color w:val="17365D" w:themeColor="text2" w:themeShade="BF"/>
          <w:sz w:val="20"/>
          <w:szCs w:val="20"/>
        </w:rPr>
      </w:pPr>
      <w:r w:rsidRPr="003175F6">
        <w:rPr>
          <w:rFonts w:ascii="Calibri" w:hAnsi="Calibri"/>
          <w:color w:val="17365D" w:themeColor="text2" w:themeShade="BF"/>
          <w:sz w:val="20"/>
          <w:szCs w:val="20"/>
        </w:rPr>
        <w:t>3:30 pm</w:t>
      </w:r>
      <w:r w:rsidRPr="003175F6">
        <w:rPr>
          <w:rFonts w:ascii="Calibri" w:hAnsi="Calibri"/>
          <w:color w:val="17365D" w:themeColor="text2" w:themeShade="BF"/>
          <w:sz w:val="20"/>
          <w:szCs w:val="20"/>
        </w:rPr>
        <w:tab/>
      </w:r>
      <w:r w:rsidRPr="003175F6">
        <w:rPr>
          <w:rFonts w:ascii="Calibri" w:hAnsi="Calibri"/>
          <w:color w:val="17365D" w:themeColor="text2" w:themeShade="BF"/>
          <w:sz w:val="20"/>
          <w:szCs w:val="20"/>
        </w:rPr>
        <w:tab/>
        <w:t>Adjourn</w:t>
      </w: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64161554" w14:textId="77777777" w:rsidR="003175F6" w:rsidRPr="003175F6" w:rsidRDefault="003175F6" w:rsidP="003175F6">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b/>
          <w:bCs/>
          <w:color w:val="17365D" w:themeColor="text2" w:themeShade="BF"/>
          <w:sz w:val="20"/>
          <w:szCs w:val="20"/>
          <w:u w:val="single"/>
        </w:rPr>
        <w:t>TARGET AUDIENCE</w:t>
      </w:r>
      <w:r w:rsidRPr="003175F6">
        <w:rPr>
          <w:rFonts w:asciiTheme="minorHAnsi" w:hAnsiTheme="minorHAnsi" w:cstheme="minorHAnsi"/>
          <w:color w:val="17365D" w:themeColor="text2" w:themeShade="BF"/>
          <w:sz w:val="20"/>
          <w:szCs w:val="20"/>
        </w:rPr>
        <w:t>: This course is intended for new, inexperienced state, local and tribal air quality professionals.</w:t>
      </w:r>
    </w:p>
    <w:p w14:paraId="3E3D1567" w14:textId="77777777" w:rsidR="003175F6" w:rsidRPr="003175F6" w:rsidRDefault="003175F6" w:rsidP="003175F6">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b/>
          <w:bCs/>
          <w:color w:val="17365D" w:themeColor="text2" w:themeShade="BF"/>
          <w:sz w:val="20"/>
          <w:szCs w:val="20"/>
          <w:u w:val="single"/>
        </w:rPr>
        <w:t>COURSE DESCRIPTION</w:t>
      </w:r>
      <w:r w:rsidRPr="003175F6">
        <w:rPr>
          <w:rFonts w:asciiTheme="minorHAnsi" w:hAnsiTheme="minorHAnsi" w:cstheme="minorHAnsi"/>
          <w:b/>
          <w:bCs/>
          <w:color w:val="17365D" w:themeColor="text2" w:themeShade="BF"/>
          <w:sz w:val="20"/>
          <w:szCs w:val="20"/>
        </w:rPr>
        <w:t xml:space="preserve">: </w:t>
      </w:r>
      <w:r w:rsidRPr="003175F6">
        <w:rPr>
          <w:rFonts w:asciiTheme="minorHAnsi" w:hAnsiTheme="minorHAnsi" w:cstheme="minorHAnsi"/>
          <w:color w:val="17365D" w:themeColor="text2" w:themeShade="BF"/>
          <w:sz w:val="20"/>
          <w:szCs w:val="20"/>
        </w:rPr>
        <w:t>Boilers are one of the most common emission sources and range in use from small fire tube boilers to large utility boilers associated with power plant facilities. The course discusses uses of boilers, heat transfer methods and fundamentals of operation of modern industrial and utility boilers including those fired by natural gas, biomass municipal waste and coal (circulating fluidized bed units). The course also discusses steam turbines and power generation. This is followed by a detailed discussion on emissions and control techniques such as Low-NOx burners, FGR, staged combustion, SCR and SNCR. New technologies such as Ultra Low-NOx 9 ppm burners, applicable federal and local BACT regulations, permitting requirements and agency inspection procedures and safety concerns are thoroughly discussed.</w:t>
      </w:r>
    </w:p>
    <w:p w14:paraId="4656B26B" w14:textId="791ADF67" w:rsidR="003175F6" w:rsidRPr="003175F6" w:rsidRDefault="003175F6" w:rsidP="003175F6">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b/>
          <w:bCs/>
          <w:color w:val="17365D" w:themeColor="text2" w:themeShade="BF"/>
          <w:sz w:val="20"/>
          <w:szCs w:val="20"/>
          <w:u w:val="single"/>
        </w:rPr>
        <w:t>LEARNING OBJECTIVES</w:t>
      </w:r>
      <w:r w:rsidRPr="003175F6">
        <w:rPr>
          <w:rFonts w:asciiTheme="minorHAnsi" w:hAnsiTheme="minorHAnsi" w:cstheme="minorHAnsi"/>
          <w:b/>
          <w:bCs/>
          <w:color w:val="17365D" w:themeColor="text2" w:themeShade="BF"/>
          <w:sz w:val="20"/>
          <w:szCs w:val="20"/>
        </w:rPr>
        <w:t xml:space="preserve">: </w:t>
      </w:r>
      <w:r w:rsidRPr="003175F6">
        <w:rPr>
          <w:rFonts w:asciiTheme="minorHAnsi" w:hAnsiTheme="minorHAnsi" w:cstheme="minorHAnsi"/>
          <w:color w:val="17365D" w:themeColor="text2" w:themeShade="BF"/>
          <w:sz w:val="20"/>
          <w:szCs w:val="20"/>
        </w:rPr>
        <w:t xml:space="preserve">Those completing this course will gain a basic understanding of the general information associated with industrial boiler </w:t>
      </w:r>
      <w:r w:rsidRPr="003175F6">
        <w:rPr>
          <w:rFonts w:asciiTheme="minorHAnsi" w:hAnsiTheme="minorHAnsi" w:cstheme="minorHAnsi"/>
          <w:color w:val="17365D" w:themeColor="text2" w:themeShade="BF"/>
          <w:sz w:val="20"/>
          <w:szCs w:val="20"/>
        </w:rPr>
        <w:t>operations.  Attendees will be able to perform regulatory reviews involving the following elements of</w:t>
      </w:r>
      <w:r>
        <w:rPr>
          <w:rFonts w:asciiTheme="minorHAnsi" w:hAnsiTheme="minorHAnsi" w:cstheme="minorHAnsi"/>
          <w:color w:val="17365D" w:themeColor="text2" w:themeShade="BF"/>
          <w:sz w:val="20"/>
          <w:szCs w:val="20"/>
        </w:rPr>
        <w:t xml:space="preserve"> </w:t>
      </w:r>
      <w:r w:rsidRPr="003175F6">
        <w:rPr>
          <w:rFonts w:asciiTheme="minorHAnsi" w:hAnsiTheme="minorHAnsi" w:cstheme="minorHAnsi"/>
          <w:color w:val="17365D" w:themeColor="text2" w:themeShade="BF"/>
          <w:sz w:val="20"/>
          <w:szCs w:val="20"/>
        </w:rPr>
        <w:t>industrial boilers:</w:t>
      </w:r>
    </w:p>
    <w:p w14:paraId="07079555"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Air Pollution - Why</w:t>
      </w:r>
    </w:p>
    <w:p w14:paraId="48F884EB"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Boiler Uses</w:t>
      </w:r>
    </w:p>
    <w:p w14:paraId="010FF734"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Boiler Theory and Operation</w:t>
      </w:r>
    </w:p>
    <w:p w14:paraId="5C8B3279"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Air Pollution Formation</w:t>
      </w:r>
    </w:p>
    <w:p w14:paraId="631C28B8"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Air Pollution Control Devices</w:t>
      </w:r>
    </w:p>
    <w:p w14:paraId="4A52FB34"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Boiler Regulations</w:t>
      </w:r>
    </w:p>
    <w:p w14:paraId="6C7BC3FE"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Typical Permit Conditions</w:t>
      </w:r>
    </w:p>
    <w:p w14:paraId="631AD9C3" w14:textId="77777777" w:rsidR="003175F6" w:rsidRPr="003175F6" w:rsidRDefault="003175F6" w:rsidP="003175F6">
      <w:pPr>
        <w:widowControl/>
        <w:numPr>
          <w:ilvl w:val="0"/>
          <w:numId w:val="50"/>
        </w:numPr>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3175F6">
        <w:rPr>
          <w:rFonts w:asciiTheme="minorHAnsi" w:hAnsiTheme="minorHAnsi" w:cstheme="minorHAnsi"/>
          <w:color w:val="17365D" w:themeColor="text2" w:themeShade="BF"/>
          <w:sz w:val="20"/>
          <w:szCs w:val="20"/>
        </w:rPr>
        <w:t>Inspection Procedures</w:t>
      </w:r>
    </w:p>
    <w:p w14:paraId="2586B111" w14:textId="77777777"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COURSE DELIVERY</w:t>
      </w:r>
      <w:r w:rsidRPr="006E6F01">
        <w:rPr>
          <w:rFonts w:asciiTheme="minorHAnsi" w:hAnsiTheme="minorHAnsi" w:cstheme="minorHAnsi"/>
          <w:color w:val="17365D" w:themeColor="text2" w:themeShade="BF"/>
          <w:sz w:val="20"/>
          <w:szCs w:val="20"/>
        </w:rPr>
        <w:t>: This is a virtual, instructor-led training course.</w:t>
      </w:r>
    </w:p>
    <w:p w14:paraId="3B43A9F3" w14:textId="77777777" w:rsidR="00C660AC" w:rsidRPr="006E6F01"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2EE7DA10"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3175F6">
        <w:rPr>
          <w:rFonts w:asciiTheme="minorHAnsi" w:hAnsiTheme="minorHAnsi" w:cstheme="minorHAnsi"/>
          <w:color w:val="17365D" w:themeColor="text2" w:themeShade="BF"/>
          <w:sz w:val="20"/>
          <w:szCs w:val="20"/>
        </w:rPr>
        <w:t>April 17</w:t>
      </w:r>
      <w:r w:rsidR="006E6F01">
        <w:rPr>
          <w:rFonts w:asciiTheme="minorHAnsi" w:hAnsiTheme="minorHAnsi" w:cstheme="minorHAnsi"/>
          <w:color w:val="17365D" w:themeColor="text2" w:themeShade="BF"/>
          <w:sz w:val="20"/>
          <w:szCs w:val="20"/>
        </w:rPr>
        <w:t>,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50B50"/>
    <w:multiLevelType w:val="multilevel"/>
    <w:tmpl w:val="509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1"/>
  </w:num>
  <w:num w:numId="2" w16cid:durableId="545022573">
    <w:abstractNumId w:val="12"/>
  </w:num>
  <w:num w:numId="3" w16cid:durableId="2081517091">
    <w:abstractNumId w:val="4"/>
  </w:num>
  <w:num w:numId="4" w16cid:durableId="1781946172">
    <w:abstractNumId w:val="13"/>
  </w:num>
  <w:num w:numId="5" w16cid:durableId="1088623336">
    <w:abstractNumId w:val="45"/>
  </w:num>
  <w:num w:numId="6" w16cid:durableId="1011563637">
    <w:abstractNumId w:val="32"/>
  </w:num>
  <w:num w:numId="7" w16cid:durableId="868570063">
    <w:abstractNumId w:val="28"/>
  </w:num>
  <w:num w:numId="8" w16cid:durableId="1632633856">
    <w:abstractNumId w:val="16"/>
  </w:num>
  <w:num w:numId="9" w16cid:durableId="1326743327">
    <w:abstractNumId w:val="22"/>
  </w:num>
  <w:num w:numId="10" w16cid:durableId="616569996">
    <w:abstractNumId w:val="24"/>
  </w:num>
  <w:num w:numId="11" w16cid:durableId="945380534">
    <w:abstractNumId w:val="46"/>
  </w:num>
  <w:num w:numId="12" w16cid:durableId="903879095">
    <w:abstractNumId w:val="9"/>
  </w:num>
  <w:num w:numId="13" w16cid:durableId="2030913899">
    <w:abstractNumId w:val="7"/>
  </w:num>
  <w:num w:numId="14" w16cid:durableId="1022898797">
    <w:abstractNumId w:val="42"/>
  </w:num>
  <w:num w:numId="15" w16cid:durableId="1086464494">
    <w:abstractNumId w:val="30"/>
  </w:num>
  <w:num w:numId="16" w16cid:durableId="1392995562">
    <w:abstractNumId w:val="43"/>
  </w:num>
  <w:num w:numId="17" w16cid:durableId="1869560271">
    <w:abstractNumId w:val="37"/>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6"/>
  </w:num>
  <w:num w:numId="26" w16cid:durableId="132599882">
    <w:abstractNumId w:val="27"/>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8"/>
  </w:num>
  <w:num w:numId="33" w16cid:durableId="574821407">
    <w:abstractNumId w:val="47"/>
  </w:num>
  <w:num w:numId="34" w16cid:durableId="527303885">
    <w:abstractNumId w:val="0"/>
  </w:num>
  <w:num w:numId="35" w16cid:durableId="287856652">
    <w:abstractNumId w:val="44"/>
  </w:num>
  <w:num w:numId="36" w16cid:durableId="90703420">
    <w:abstractNumId w:val="29"/>
  </w:num>
  <w:num w:numId="37" w16cid:durableId="1326595067">
    <w:abstractNumId w:val="19"/>
  </w:num>
  <w:num w:numId="38" w16cid:durableId="1980571771">
    <w:abstractNumId w:val="31"/>
  </w:num>
  <w:num w:numId="39" w16cid:durableId="89084785">
    <w:abstractNumId w:val="34"/>
  </w:num>
  <w:num w:numId="40" w16cid:durableId="1226188442">
    <w:abstractNumId w:val="3"/>
  </w:num>
  <w:num w:numId="41" w16cid:durableId="300158304">
    <w:abstractNumId w:val="39"/>
  </w:num>
  <w:num w:numId="42" w16cid:durableId="126241566">
    <w:abstractNumId w:val="48"/>
  </w:num>
  <w:num w:numId="43" w16cid:durableId="2127389725">
    <w:abstractNumId w:val="49"/>
  </w:num>
  <w:num w:numId="44" w16cid:durableId="1892770030">
    <w:abstractNumId w:val="35"/>
  </w:num>
  <w:num w:numId="45" w16cid:durableId="1980258957">
    <w:abstractNumId w:val="14"/>
  </w:num>
  <w:num w:numId="46" w16cid:durableId="1928221535">
    <w:abstractNumId w:val="10"/>
  </w:num>
  <w:num w:numId="47" w16cid:durableId="1306661296">
    <w:abstractNumId w:val="40"/>
  </w:num>
  <w:num w:numId="48" w16cid:durableId="774515666">
    <w:abstractNumId w:val="33"/>
  </w:num>
  <w:num w:numId="49" w16cid:durableId="1770663774">
    <w:abstractNumId w:val="5"/>
  </w:num>
  <w:num w:numId="50" w16cid:durableId="15631068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B88"/>
    <w:rsid w:val="00051E20"/>
    <w:rsid w:val="000537C5"/>
    <w:rsid w:val="00066AA8"/>
    <w:rsid w:val="0006707B"/>
    <w:rsid w:val="0007269D"/>
    <w:rsid w:val="00087345"/>
    <w:rsid w:val="000925F4"/>
    <w:rsid w:val="00097077"/>
    <w:rsid w:val="000A12F9"/>
    <w:rsid w:val="000A4144"/>
    <w:rsid w:val="000A646D"/>
    <w:rsid w:val="000B2160"/>
    <w:rsid w:val="000B273F"/>
    <w:rsid w:val="000B7AB0"/>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175F6"/>
    <w:rsid w:val="00321DBE"/>
    <w:rsid w:val="00327292"/>
    <w:rsid w:val="0033195A"/>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12FCB"/>
    <w:rsid w:val="00B12FF9"/>
    <w:rsid w:val="00B13DD7"/>
    <w:rsid w:val="00B17885"/>
    <w:rsid w:val="00B324BD"/>
    <w:rsid w:val="00B35CF6"/>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2</cp:revision>
  <cp:lastPrinted>2025-05-14T19:30:00Z</cp:lastPrinted>
  <dcterms:created xsi:type="dcterms:W3CDTF">2026-01-05T22:41:00Z</dcterms:created>
  <dcterms:modified xsi:type="dcterms:W3CDTF">2026-01-05T22:41:00Z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