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7FB316B" w14:textId="3A1E80DF" w:rsidR="00CE793F" w:rsidRDefault="00A848AA"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Fugitive Volatile Organic</w:t>
      </w:r>
    </w:p>
    <w:p w14:paraId="7FDA0D1D" w14:textId="014CC0B1" w:rsidR="00A848AA" w:rsidRPr="006E6F01" w:rsidRDefault="00A848AA"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Compounds (TOXC 240)</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69B8A4B5" w:rsidR="007D02D7" w:rsidRPr="006E6F01" w:rsidRDefault="00A848AA"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May 21</w:t>
      </w:r>
      <w:r w:rsidR="007E08ED"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 xml:space="preserve">, </w:t>
      </w:r>
      <w:r w:rsidR="00F05E05"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202</w:t>
      </w:r>
      <w:r w:rsidR="00691099"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59BCE7CB"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A848AA">
        <w:rPr>
          <w:rFonts w:asciiTheme="minorHAnsi" w:hAnsiTheme="minorHAnsi" w:cstheme="minorHAnsi"/>
          <w:color w:val="17365D" w:themeColor="text2" w:themeShade="BF"/>
        </w:rPr>
        <w:t>April 17</w:t>
      </w:r>
      <w:r w:rsidR="00691099" w:rsidRPr="006E6F01">
        <w:rPr>
          <w:rFonts w:asciiTheme="minorHAnsi" w:hAnsiTheme="minorHAnsi" w:cstheme="minorHAnsi"/>
          <w:color w:val="17365D" w:themeColor="text2" w:themeShade="BF"/>
        </w:rPr>
        <w:t>,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CDDB580" w14:textId="77777777" w:rsidR="006E6F01" w:rsidRDefault="006E6F01" w:rsidP="007D02D7">
      <w:pPr>
        <w:jc w:val="center"/>
        <w:rPr>
          <w:rFonts w:asciiTheme="minorHAnsi" w:hAnsiTheme="minorHAnsi" w:cstheme="minorHAnsi"/>
          <w:color w:val="17365D" w:themeColor="text2" w:themeShade="BF"/>
          <w:sz w:val="20"/>
          <w:szCs w:val="20"/>
        </w:rPr>
      </w:pPr>
    </w:p>
    <w:p w14:paraId="2A4943ED" w14:textId="77777777" w:rsidR="00A848AA" w:rsidRDefault="00A848AA" w:rsidP="007D02D7">
      <w:pPr>
        <w:jc w:val="center"/>
        <w:rPr>
          <w:rFonts w:asciiTheme="minorHAnsi" w:hAnsiTheme="minorHAnsi" w:cstheme="minorHAnsi"/>
          <w:color w:val="17365D" w:themeColor="text2" w:themeShade="BF"/>
          <w:sz w:val="20"/>
          <w:szCs w:val="20"/>
        </w:rPr>
      </w:pPr>
    </w:p>
    <w:p w14:paraId="6D4B925D" w14:textId="77777777" w:rsidR="00A848AA" w:rsidRPr="006E6F01" w:rsidRDefault="00A848AA"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1198FE2A" w:rsidR="00964B29" w:rsidRPr="006E6F01" w:rsidRDefault="00A848AA"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THURSDAY, MAY 21</w:t>
      </w:r>
      <w:r w:rsidR="006E6F01" w:rsidRPr="006E6F01">
        <w:rPr>
          <w:rFonts w:asciiTheme="minorHAnsi" w:hAnsiTheme="minorHAnsi" w:cstheme="minorHAnsi"/>
          <w:b/>
          <w:noProof/>
          <w:color w:val="FFFFFF" w:themeColor="background1"/>
          <w:sz w:val="32"/>
          <w:szCs w:val="32"/>
        </w:rPr>
        <w:t>,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1249C8DA" w14:textId="21C80C9C"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w:t>
      </w:r>
      <w:r w:rsidRPr="00A848AA">
        <w:rPr>
          <w:rFonts w:ascii="Calibri" w:hAnsi="Calibri" w:cs="Calibri"/>
          <w:color w:val="17365D" w:themeColor="text2" w:themeShade="BF"/>
          <w:sz w:val="20"/>
          <w:szCs w:val="20"/>
        </w:rPr>
        <w:t>:</w:t>
      </w:r>
      <w:r w:rsidRPr="00A848AA">
        <w:rPr>
          <w:rFonts w:ascii="Calibri" w:hAnsi="Calibri" w:cs="Calibri"/>
          <w:color w:val="17365D" w:themeColor="text2" w:themeShade="BF"/>
          <w:sz w:val="20"/>
          <w:szCs w:val="20"/>
        </w:rPr>
        <w:t>0</w:t>
      </w:r>
      <w:r w:rsidRPr="00A848AA">
        <w:rPr>
          <w:rFonts w:ascii="Calibri" w:hAnsi="Calibri" w:cs="Calibri"/>
          <w:color w:val="17365D" w:themeColor="text2" w:themeShade="BF"/>
          <w:sz w:val="20"/>
          <w:szCs w:val="20"/>
        </w:rPr>
        <w:t>0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Welcome</w:t>
      </w:r>
      <w:r w:rsidRPr="00A848AA">
        <w:rPr>
          <w:rFonts w:ascii="Calibri" w:hAnsi="Calibri" w:cs="Calibri"/>
          <w:color w:val="17365D" w:themeColor="text2" w:themeShade="BF"/>
          <w:sz w:val="20"/>
          <w:szCs w:val="20"/>
        </w:rPr>
        <w:t xml:space="preserve"> and </w:t>
      </w:r>
      <w:r w:rsidRPr="00A848AA">
        <w:rPr>
          <w:rFonts w:ascii="Calibri" w:hAnsi="Calibri" w:cs="Calibri"/>
          <w:color w:val="17365D" w:themeColor="text2" w:themeShade="BF"/>
          <w:sz w:val="20"/>
          <w:szCs w:val="20"/>
        </w:rPr>
        <w:t>Introduction</w:t>
      </w:r>
    </w:p>
    <w:p w14:paraId="33AB0865" w14:textId="2E8D62B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w:t>
      </w:r>
      <w:r w:rsidRPr="00A848AA">
        <w:rPr>
          <w:rFonts w:ascii="Calibri" w:hAnsi="Calibri" w:cs="Calibri"/>
          <w:color w:val="17365D" w:themeColor="text2" w:themeShade="BF"/>
          <w:sz w:val="20"/>
          <w:szCs w:val="20"/>
        </w:rPr>
        <w:t>:</w:t>
      </w:r>
      <w:r w:rsidRPr="00A848AA">
        <w:rPr>
          <w:rFonts w:ascii="Calibri" w:hAnsi="Calibri" w:cs="Calibri"/>
          <w:color w:val="17365D" w:themeColor="text2" w:themeShade="BF"/>
          <w:sz w:val="20"/>
          <w:szCs w:val="20"/>
        </w:rPr>
        <w:t>05</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I: Particulate Matter Primer</w:t>
      </w:r>
    </w:p>
    <w:p w14:paraId="436DE32F" w14:textId="0520C27A"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w:t>
      </w:r>
      <w:r w:rsidRPr="00A848AA">
        <w:rPr>
          <w:rFonts w:ascii="Calibri" w:hAnsi="Calibri" w:cs="Calibri"/>
          <w:color w:val="17365D" w:themeColor="text2" w:themeShade="BF"/>
          <w:sz w:val="20"/>
          <w:szCs w:val="20"/>
        </w:rPr>
        <w:t>30</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II: Fugitive Dust Overview</w:t>
      </w:r>
    </w:p>
    <w:p w14:paraId="69B14967" w14:textId="52DFD9F3"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w:t>
      </w:r>
      <w:r w:rsidRPr="00A848AA">
        <w:rPr>
          <w:rFonts w:ascii="Calibri" w:hAnsi="Calibri" w:cs="Calibri"/>
          <w:color w:val="17365D" w:themeColor="text2" w:themeShade="BF"/>
          <w:sz w:val="20"/>
          <w:szCs w:val="20"/>
        </w:rPr>
        <w:t>50</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III: Rules and Regulations</w:t>
      </w:r>
    </w:p>
    <w:p w14:paraId="5159F19F" w14:textId="34E6D3A2"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10:15 am</w:t>
      </w:r>
      <w:r w:rsidRPr="00A848AA">
        <w:rPr>
          <w:rFonts w:ascii="Calibri" w:hAnsi="Calibri" w:cs="Calibri"/>
          <w:color w:val="17365D" w:themeColor="text2" w:themeShade="BF"/>
          <w:sz w:val="20"/>
          <w:szCs w:val="20"/>
        </w:rPr>
        <w:tab/>
        <w:t>Break</w:t>
      </w:r>
    </w:p>
    <w:p w14:paraId="02974E9C" w14:textId="1651AE4B"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10:30 am</w:t>
      </w:r>
      <w:r w:rsidRPr="00A848AA">
        <w:rPr>
          <w:rFonts w:ascii="Calibri" w:hAnsi="Calibri" w:cs="Calibri"/>
          <w:color w:val="17365D" w:themeColor="text2" w:themeShade="BF"/>
          <w:sz w:val="20"/>
          <w:szCs w:val="20"/>
        </w:rPr>
        <w:tab/>
        <w:t>Lesson III continued</w:t>
      </w:r>
    </w:p>
    <w:p w14:paraId="01AF7517" w14:textId="56982ED0"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11:00 am</w:t>
      </w:r>
      <w:r w:rsidRPr="00A848AA">
        <w:rPr>
          <w:rFonts w:ascii="Calibri" w:hAnsi="Calibri" w:cs="Calibri"/>
          <w:color w:val="17365D" w:themeColor="text2" w:themeShade="BF"/>
          <w:sz w:val="20"/>
          <w:szCs w:val="20"/>
        </w:rPr>
        <w:tab/>
        <w:t>Lesson IV: Methods to Determine Violations</w:t>
      </w:r>
    </w:p>
    <w:p w14:paraId="432BB299" w14:textId="287D2A7B"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12:00 noon</w:t>
      </w:r>
      <w:r w:rsidRPr="00A848AA">
        <w:rPr>
          <w:rFonts w:ascii="Calibri" w:hAnsi="Calibri" w:cs="Calibri"/>
          <w:color w:val="17365D" w:themeColor="text2" w:themeShade="BF"/>
          <w:sz w:val="20"/>
          <w:szCs w:val="20"/>
        </w:rPr>
        <w:tab/>
        <w:t>Lunch</w:t>
      </w:r>
    </w:p>
    <w:p w14:paraId="7E6F6DBE"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IV: Local Air District Rules</w:t>
      </w:r>
    </w:p>
    <w:p w14:paraId="13D2063E"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2:00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V: Dust Control Measures</w:t>
      </w:r>
    </w:p>
    <w:p w14:paraId="7B462182"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2:30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Break</w:t>
      </w:r>
    </w:p>
    <w:p w14:paraId="4C805FC7"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3:00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VI: Dust Control Plans</w:t>
      </w:r>
    </w:p>
    <w:p w14:paraId="73E73054"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3:30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Lesson VII: Community Outreach</w:t>
      </w:r>
    </w:p>
    <w:p w14:paraId="0735FAF5"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4:00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Jeopardy/Test/Wrap-up and Evaluations</w:t>
      </w:r>
    </w:p>
    <w:p w14:paraId="3CE946F8" w14:textId="77777777"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5:00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Adjourn</w:t>
      </w:r>
    </w:p>
    <w:p w14:paraId="145C896A" w14:textId="77777777" w:rsidR="00A4738F" w:rsidRPr="006E6F01" w:rsidRDefault="00A4738F" w:rsidP="006E6F01">
      <w:pPr>
        <w:tabs>
          <w:tab w:val="left" w:pos="720"/>
          <w:tab w:val="left" w:pos="1170"/>
          <w:tab w:val="left" w:pos="1260"/>
        </w:tabs>
        <w:rPr>
          <w:rFonts w:asciiTheme="minorHAnsi" w:hAnsiTheme="minorHAnsi" w:cstheme="minorHAnsi"/>
          <w:color w:val="17365D" w:themeColor="text2" w:themeShade="BF"/>
          <w:sz w:val="20"/>
          <w:szCs w:val="20"/>
        </w:rPr>
      </w:pP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775FB834" w14:textId="71770F6C" w:rsidR="00A848AA" w:rsidRPr="00A848AA" w:rsidRDefault="007D20C4" w:rsidP="00A848AA">
      <w:pPr>
        <w:widowControl/>
        <w:rPr>
          <w:rFonts w:ascii="Calibri" w:hAnsi="Calibri" w:cs="Calibri"/>
          <w:color w:val="17365D" w:themeColor="text2" w:themeShade="BF"/>
          <w:sz w:val="20"/>
          <w:szCs w:val="20"/>
        </w:rPr>
      </w:pPr>
      <w:r w:rsidRPr="00A848AA">
        <w:rPr>
          <w:rFonts w:asciiTheme="minorHAnsi" w:hAnsiTheme="minorHAnsi" w:cstheme="minorHAnsi"/>
          <w:b/>
          <w:bCs/>
          <w:color w:val="17365D" w:themeColor="text2" w:themeShade="BF"/>
          <w:sz w:val="20"/>
          <w:szCs w:val="20"/>
          <w:u w:val="single"/>
        </w:rPr>
        <w:t>WHO SHOULD ATTEND</w:t>
      </w:r>
      <w:r w:rsidRPr="00A848AA">
        <w:rPr>
          <w:rFonts w:asciiTheme="minorHAnsi" w:hAnsiTheme="minorHAnsi" w:cstheme="minorHAnsi"/>
          <w:color w:val="17365D" w:themeColor="text2" w:themeShade="BF"/>
          <w:sz w:val="20"/>
          <w:szCs w:val="20"/>
        </w:rPr>
        <w:t>:</w:t>
      </w:r>
      <w:r w:rsidR="00A848AA" w:rsidRPr="00A848AA">
        <w:rPr>
          <w:rFonts w:asciiTheme="minorHAnsi" w:hAnsiTheme="minorHAnsi" w:cstheme="minorHAnsi"/>
          <w:color w:val="17365D" w:themeColor="text2" w:themeShade="BF"/>
          <w:sz w:val="20"/>
          <w:szCs w:val="20"/>
        </w:rPr>
        <w:t xml:space="preserve"> </w:t>
      </w:r>
      <w:r w:rsidR="00A848AA" w:rsidRPr="00A848AA">
        <w:rPr>
          <w:rFonts w:ascii="Calibri" w:hAnsi="Calibri" w:cs="Calibri"/>
          <w:color w:val="17365D" w:themeColor="text2" w:themeShade="BF"/>
          <w:sz w:val="20"/>
          <w:szCs w:val="20"/>
        </w:rPr>
        <w:t xml:space="preserve">Planning and rulemaking staff who may be dealing with statewide or regional particulate matter rule development or attainment issues or who are developing responses to site-specific fugitive dust emissions. Also permit writers and inspectors </w:t>
      </w:r>
      <w:proofErr w:type="gramStart"/>
      <w:r w:rsidR="00A848AA" w:rsidRPr="00A848AA">
        <w:rPr>
          <w:rFonts w:ascii="Calibri" w:hAnsi="Calibri" w:cs="Calibri"/>
          <w:color w:val="17365D" w:themeColor="text2" w:themeShade="BF"/>
          <w:sz w:val="20"/>
          <w:szCs w:val="20"/>
        </w:rPr>
        <w:t>dealing</w:t>
      </w:r>
      <w:proofErr w:type="gramEnd"/>
      <w:r w:rsidR="00A848AA" w:rsidRPr="00A848AA">
        <w:rPr>
          <w:rFonts w:ascii="Calibri" w:hAnsi="Calibri" w:cs="Calibri"/>
          <w:color w:val="17365D" w:themeColor="text2" w:themeShade="BF"/>
          <w:sz w:val="20"/>
          <w:szCs w:val="20"/>
        </w:rPr>
        <w:t xml:space="preserve"> with operations that generate fugitive dust, such as construction activities, aggregate, concrete, cement, asphalt and mining operations and activities with vehicle traffic on unpaved surfaces.</w:t>
      </w:r>
    </w:p>
    <w:p w14:paraId="4D89CFFA" w14:textId="77777777" w:rsidR="007D20C4" w:rsidRPr="00A848AA" w:rsidRDefault="007D20C4" w:rsidP="007D20C4">
      <w:pPr>
        <w:widowControl/>
        <w:rPr>
          <w:rFonts w:asciiTheme="minorHAnsi" w:hAnsiTheme="minorHAnsi" w:cstheme="minorHAnsi"/>
          <w:b/>
          <w:bCs/>
          <w:color w:val="17365D" w:themeColor="text2" w:themeShade="BF"/>
          <w:sz w:val="20"/>
          <w:szCs w:val="20"/>
        </w:rPr>
      </w:pPr>
    </w:p>
    <w:p w14:paraId="04F280E9" w14:textId="77777777" w:rsidR="00A848AA" w:rsidRPr="00A848AA" w:rsidRDefault="00A848AA" w:rsidP="00A848AA">
      <w:pPr>
        <w:widowControl/>
        <w:shd w:val="clear" w:color="auto" w:fill="FFFFFF"/>
        <w:autoSpaceDE/>
        <w:autoSpaceDN/>
        <w:adjustRightInd/>
        <w:spacing w:after="120"/>
        <w:rPr>
          <w:rFonts w:ascii="Calibri" w:hAnsi="Calibri" w:cs="Calibri"/>
          <w:color w:val="17365D" w:themeColor="text2" w:themeShade="BF"/>
          <w:sz w:val="20"/>
          <w:szCs w:val="20"/>
        </w:rPr>
      </w:pPr>
      <w:r w:rsidRPr="00A848AA">
        <w:rPr>
          <w:rFonts w:ascii="Calibri" w:hAnsi="Calibri" w:cs="Calibri"/>
          <w:b/>
          <w:bCs/>
          <w:color w:val="17365D" w:themeColor="text2" w:themeShade="BF"/>
          <w:sz w:val="20"/>
          <w:szCs w:val="20"/>
          <w:u w:val="single"/>
        </w:rPr>
        <w:t>COURSE DESCRIPTION</w:t>
      </w:r>
      <w:r w:rsidRPr="00A848AA">
        <w:rPr>
          <w:rFonts w:ascii="Calibri" w:hAnsi="Calibri" w:cs="Calibri"/>
          <w:b/>
          <w:bCs/>
          <w:color w:val="17365D" w:themeColor="text2" w:themeShade="BF"/>
          <w:sz w:val="20"/>
          <w:szCs w:val="20"/>
        </w:rPr>
        <w:t xml:space="preserve">: </w:t>
      </w:r>
      <w:r w:rsidRPr="00A848AA">
        <w:rPr>
          <w:rFonts w:ascii="Calibri" w:hAnsi="Calibri" w:cs="Calibri"/>
          <w:color w:val="17365D" w:themeColor="text2" w:themeShade="BF"/>
          <w:sz w:val="20"/>
          <w:szCs w:val="20"/>
        </w:rPr>
        <w:t xml:space="preserve">This course presents a comprehensive overview of fugitive dust emissions and controls. The course includes the how, what, where and health impacts of particulate matter and the problem that fugitive dust presents. The course also discusses the rules and regulations that have been adopted </w:t>
      </w:r>
      <w:proofErr w:type="gramStart"/>
      <w:r w:rsidRPr="00A848AA">
        <w:rPr>
          <w:rFonts w:ascii="Calibri" w:hAnsi="Calibri" w:cs="Calibri"/>
          <w:color w:val="17365D" w:themeColor="text2" w:themeShade="BF"/>
          <w:sz w:val="20"/>
          <w:szCs w:val="20"/>
        </w:rPr>
        <w:t>by  some</w:t>
      </w:r>
      <w:proofErr w:type="gramEnd"/>
      <w:r w:rsidRPr="00A848AA">
        <w:rPr>
          <w:rFonts w:ascii="Calibri" w:hAnsi="Calibri" w:cs="Calibri"/>
          <w:color w:val="17365D" w:themeColor="text2" w:themeShade="BF"/>
          <w:sz w:val="20"/>
          <w:szCs w:val="20"/>
        </w:rPr>
        <w:t xml:space="preserve"> agencies to control fugitive dust and the methods that are used to determine compliance with and/or violations of these regulations.</w:t>
      </w:r>
    </w:p>
    <w:p w14:paraId="75095BD7" w14:textId="77777777" w:rsidR="00A848AA" w:rsidRPr="00A848AA" w:rsidRDefault="00A848AA" w:rsidP="00A848AA">
      <w:pPr>
        <w:widowControl/>
        <w:shd w:val="clear" w:color="auto" w:fill="FFFFFF"/>
        <w:autoSpaceDE/>
        <w:autoSpaceDN/>
        <w:adjustRightInd/>
        <w:spacing w:after="120"/>
        <w:rPr>
          <w:rFonts w:ascii="Calibri" w:hAnsi="Calibri" w:cs="Calibri"/>
          <w:color w:val="17365D" w:themeColor="text2" w:themeShade="BF"/>
          <w:sz w:val="20"/>
          <w:szCs w:val="20"/>
        </w:rPr>
      </w:pPr>
      <w:r w:rsidRPr="00A848AA">
        <w:rPr>
          <w:rFonts w:ascii="Calibri" w:hAnsi="Calibri" w:cs="Calibri"/>
          <w:b/>
          <w:bCs/>
          <w:color w:val="17365D" w:themeColor="text2" w:themeShade="BF"/>
          <w:sz w:val="20"/>
          <w:szCs w:val="20"/>
          <w:u w:val="single"/>
        </w:rPr>
        <w:t>LEARNING OBJECTIVES</w:t>
      </w:r>
      <w:r w:rsidRPr="00A848AA">
        <w:rPr>
          <w:rFonts w:ascii="Calibri" w:hAnsi="Calibri" w:cs="Calibri"/>
          <w:b/>
          <w:bCs/>
          <w:color w:val="17365D" w:themeColor="text2" w:themeShade="BF"/>
          <w:sz w:val="20"/>
          <w:szCs w:val="20"/>
        </w:rPr>
        <w:t xml:space="preserve">: </w:t>
      </w:r>
      <w:r w:rsidRPr="00A848AA">
        <w:rPr>
          <w:rFonts w:ascii="Calibri" w:hAnsi="Calibri" w:cs="Calibri"/>
          <w:color w:val="17365D" w:themeColor="text2" w:themeShade="BF"/>
          <w:sz w:val="20"/>
          <w:szCs w:val="20"/>
        </w:rPr>
        <w:t>After completion of this one-day course, learners will be able to understand how fugitive dust is determined and regulated and explain fugitive dust control in the context of the following topics:</w:t>
      </w:r>
    </w:p>
    <w:p w14:paraId="03153A59"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Health effects of particulate matter (PM10) pollution</w:t>
      </w:r>
    </w:p>
    <w:p w14:paraId="606C29E5"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Fugitive dust sources</w:t>
      </w:r>
    </w:p>
    <w:p w14:paraId="30900D90"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Dust control measures</w:t>
      </w:r>
    </w:p>
    <w:p w14:paraId="21650FDA"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Fugitive dust rules and regulations</w:t>
      </w:r>
    </w:p>
    <w:p w14:paraId="3D1DDD10"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Dust control plans</w:t>
      </w:r>
    </w:p>
    <w:p w14:paraId="3DB67180" w14:textId="77777777" w:rsidR="00A848AA" w:rsidRPr="00A848AA" w:rsidRDefault="00A848AA" w:rsidP="00A848AA">
      <w:pPr>
        <w:widowControl/>
        <w:shd w:val="clear" w:color="auto" w:fill="FFFFFF"/>
        <w:autoSpaceDE/>
        <w:autoSpaceDN/>
        <w:adjustRightInd/>
        <w:ind w:left="54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 Visible dust emissions and test methods</w:t>
      </w:r>
    </w:p>
    <w:p w14:paraId="35A6513B" w14:textId="77777777" w:rsidR="007D20C4" w:rsidRPr="00A848AA" w:rsidRDefault="007D20C4"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2586B111" w14:textId="77777777" w:rsidR="00C660AC" w:rsidRPr="00A848AA" w:rsidRDefault="00C660AC" w:rsidP="00C660AC">
      <w:pPr>
        <w:rPr>
          <w:rFonts w:asciiTheme="minorHAnsi" w:hAnsiTheme="minorHAnsi" w:cstheme="minorHAnsi"/>
          <w:color w:val="17365D" w:themeColor="text2" w:themeShade="BF"/>
          <w:sz w:val="20"/>
          <w:szCs w:val="20"/>
        </w:rPr>
      </w:pPr>
      <w:r w:rsidRPr="00A848AA">
        <w:rPr>
          <w:rFonts w:asciiTheme="minorHAnsi" w:hAnsiTheme="minorHAnsi" w:cstheme="minorHAnsi"/>
          <w:b/>
          <w:bCs/>
          <w:color w:val="17365D" w:themeColor="text2" w:themeShade="BF"/>
          <w:sz w:val="20"/>
          <w:szCs w:val="20"/>
          <w:u w:val="single"/>
        </w:rPr>
        <w:t>COURSE DELIVERY</w:t>
      </w:r>
      <w:r w:rsidRPr="00A848AA">
        <w:rPr>
          <w:rFonts w:asciiTheme="minorHAnsi" w:hAnsiTheme="minorHAnsi" w:cstheme="minorHAnsi"/>
          <w:color w:val="17365D" w:themeColor="text2" w:themeShade="BF"/>
          <w:sz w:val="20"/>
          <w:szCs w:val="20"/>
        </w:rPr>
        <w:t>: This is a virtual, instructor-led training course.</w:t>
      </w:r>
    </w:p>
    <w:p w14:paraId="3B43A9F3" w14:textId="77777777" w:rsidR="00C660AC" w:rsidRPr="006E6F01"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0F690CCC"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A848AA">
        <w:rPr>
          <w:rFonts w:asciiTheme="minorHAnsi" w:hAnsiTheme="minorHAnsi" w:cstheme="minorHAnsi"/>
          <w:color w:val="17365D" w:themeColor="text2" w:themeShade="BF"/>
          <w:sz w:val="20"/>
          <w:szCs w:val="20"/>
        </w:rPr>
        <w:t>April 17</w:t>
      </w:r>
      <w:r w:rsidR="006E6F01">
        <w:rPr>
          <w:rFonts w:asciiTheme="minorHAnsi" w:hAnsiTheme="minorHAnsi" w:cstheme="minorHAnsi"/>
          <w:color w:val="17365D" w:themeColor="text2" w:themeShade="BF"/>
          <w:sz w:val="20"/>
          <w:szCs w:val="20"/>
        </w:rPr>
        <w:t>,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0"/>
  </w:num>
  <w:num w:numId="2" w16cid:durableId="545022573">
    <w:abstractNumId w:val="12"/>
  </w:num>
  <w:num w:numId="3" w16cid:durableId="2081517091">
    <w:abstractNumId w:val="4"/>
  </w:num>
  <w:num w:numId="4" w16cid:durableId="1781946172">
    <w:abstractNumId w:val="13"/>
  </w:num>
  <w:num w:numId="5" w16cid:durableId="1088623336">
    <w:abstractNumId w:val="44"/>
  </w:num>
  <w:num w:numId="6" w16cid:durableId="1011563637">
    <w:abstractNumId w:val="32"/>
  </w:num>
  <w:num w:numId="7" w16cid:durableId="868570063">
    <w:abstractNumId w:val="28"/>
  </w:num>
  <w:num w:numId="8" w16cid:durableId="1632633856">
    <w:abstractNumId w:val="16"/>
  </w:num>
  <w:num w:numId="9" w16cid:durableId="1326743327">
    <w:abstractNumId w:val="22"/>
  </w:num>
  <w:num w:numId="10" w16cid:durableId="616569996">
    <w:abstractNumId w:val="24"/>
  </w:num>
  <w:num w:numId="11" w16cid:durableId="945380534">
    <w:abstractNumId w:val="45"/>
  </w:num>
  <w:num w:numId="12" w16cid:durableId="903879095">
    <w:abstractNumId w:val="9"/>
  </w:num>
  <w:num w:numId="13" w16cid:durableId="2030913899">
    <w:abstractNumId w:val="7"/>
  </w:num>
  <w:num w:numId="14" w16cid:durableId="1022898797">
    <w:abstractNumId w:val="41"/>
  </w:num>
  <w:num w:numId="15" w16cid:durableId="1086464494">
    <w:abstractNumId w:val="30"/>
  </w:num>
  <w:num w:numId="16" w16cid:durableId="1392995562">
    <w:abstractNumId w:val="42"/>
  </w:num>
  <w:num w:numId="17" w16cid:durableId="1869560271">
    <w:abstractNumId w:val="36"/>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6"/>
  </w:num>
  <w:num w:numId="26" w16cid:durableId="132599882">
    <w:abstractNumId w:val="27"/>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7"/>
  </w:num>
  <w:num w:numId="33" w16cid:durableId="574821407">
    <w:abstractNumId w:val="46"/>
  </w:num>
  <w:num w:numId="34" w16cid:durableId="527303885">
    <w:abstractNumId w:val="0"/>
  </w:num>
  <w:num w:numId="35" w16cid:durableId="287856652">
    <w:abstractNumId w:val="43"/>
  </w:num>
  <w:num w:numId="36" w16cid:durableId="90703420">
    <w:abstractNumId w:val="29"/>
  </w:num>
  <w:num w:numId="37" w16cid:durableId="1326595067">
    <w:abstractNumId w:val="19"/>
  </w:num>
  <w:num w:numId="38" w16cid:durableId="1980571771">
    <w:abstractNumId w:val="31"/>
  </w:num>
  <w:num w:numId="39" w16cid:durableId="89084785">
    <w:abstractNumId w:val="34"/>
  </w:num>
  <w:num w:numId="40" w16cid:durableId="1226188442">
    <w:abstractNumId w:val="3"/>
  </w:num>
  <w:num w:numId="41" w16cid:durableId="300158304">
    <w:abstractNumId w:val="38"/>
  </w:num>
  <w:num w:numId="42" w16cid:durableId="126241566">
    <w:abstractNumId w:val="47"/>
  </w:num>
  <w:num w:numId="43" w16cid:durableId="2127389725">
    <w:abstractNumId w:val="48"/>
  </w:num>
  <w:num w:numId="44" w16cid:durableId="1892770030">
    <w:abstractNumId w:val="35"/>
  </w:num>
  <w:num w:numId="45" w16cid:durableId="1980258957">
    <w:abstractNumId w:val="14"/>
  </w:num>
  <w:num w:numId="46" w16cid:durableId="1928221535">
    <w:abstractNumId w:val="10"/>
  </w:num>
  <w:num w:numId="47" w16cid:durableId="1306661296">
    <w:abstractNumId w:val="39"/>
  </w:num>
  <w:num w:numId="48" w16cid:durableId="774515666">
    <w:abstractNumId w:val="33"/>
  </w:num>
  <w:num w:numId="49" w16cid:durableId="177066377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AB0"/>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77146"/>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48AA"/>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12FCB"/>
    <w:rsid w:val="00B12FF9"/>
    <w:rsid w:val="00B13DD7"/>
    <w:rsid w:val="00B17885"/>
    <w:rsid w:val="00B324BD"/>
    <w:rsid w:val="00B35CF6"/>
    <w:rsid w:val="00B36A3C"/>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3</cp:revision>
  <cp:lastPrinted>2025-05-14T19:30:00Z</cp:lastPrinted>
  <dcterms:created xsi:type="dcterms:W3CDTF">2026-01-05T21:48:00Z</dcterms:created>
  <dcterms:modified xsi:type="dcterms:W3CDTF">2026-01-05T22:47:00Z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