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CA" w:rsidRPr="00D123CA" w:rsidRDefault="00D123CA" w:rsidP="00D123CA">
      <w:pPr>
        <w:pStyle w:val="Default"/>
        <w:jc w:val="center"/>
        <w:rPr>
          <w:color w:val="FFFFFF"/>
          <w:sz w:val="36"/>
          <w:szCs w:val="36"/>
          <w:highlight w:val="blue"/>
        </w:rPr>
      </w:pPr>
      <w:r>
        <w:rPr>
          <w:b/>
          <w:bCs/>
          <w:color w:val="FFFFFF"/>
          <w:sz w:val="36"/>
          <w:szCs w:val="36"/>
          <w:highlight w:val="blue"/>
        </w:rPr>
        <w:t>NOTES</w:t>
      </w:r>
    </w:p>
    <w:p w:rsidR="00D123CA" w:rsidRPr="00D123CA" w:rsidRDefault="00D123CA" w:rsidP="00D123CA">
      <w:pPr>
        <w:pStyle w:val="Default"/>
        <w:jc w:val="center"/>
        <w:rPr>
          <w:color w:val="FFFFFF"/>
          <w:sz w:val="32"/>
          <w:szCs w:val="32"/>
          <w:highlight w:val="blue"/>
        </w:rPr>
      </w:pPr>
      <w:r w:rsidRPr="00D123CA">
        <w:rPr>
          <w:color w:val="FFFFFF"/>
          <w:sz w:val="32"/>
          <w:szCs w:val="32"/>
          <w:highlight w:val="blue"/>
        </w:rPr>
        <w:t>WESTAR Planning Committee Conference Call</w:t>
      </w:r>
    </w:p>
    <w:p w:rsidR="00D123CA" w:rsidRDefault="00D123CA" w:rsidP="00D123CA">
      <w:pPr>
        <w:pStyle w:val="Default"/>
        <w:jc w:val="center"/>
        <w:rPr>
          <w:b/>
          <w:bCs/>
          <w:color w:val="FFFFFF"/>
          <w:sz w:val="28"/>
          <w:szCs w:val="28"/>
          <w:highlight w:val="blue"/>
        </w:rPr>
      </w:pPr>
      <w:r w:rsidRPr="00D123CA">
        <w:rPr>
          <w:b/>
          <w:bCs/>
          <w:color w:val="FFFFFF"/>
          <w:sz w:val="28"/>
          <w:szCs w:val="28"/>
          <w:highlight w:val="blue"/>
        </w:rPr>
        <w:t>June 6, 2024</w:t>
      </w:r>
    </w:p>
    <w:p w:rsidR="00D123CA" w:rsidRPr="00D123CA" w:rsidRDefault="00D123CA" w:rsidP="00D123CA">
      <w:pPr>
        <w:pStyle w:val="Default"/>
        <w:jc w:val="center"/>
        <w:rPr>
          <w:color w:val="FFFFFF"/>
          <w:sz w:val="28"/>
          <w:szCs w:val="28"/>
          <w:highlight w:val="blue"/>
        </w:rPr>
      </w:pPr>
    </w:p>
    <w:p w:rsidR="00D123CA" w:rsidRPr="00D123CA" w:rsidRDefault="00D123CA" w:rsidP="00D123CA">
      <w:pPr>
        <w:pStyle w:val="Default"/>
        <w:jc w:val="center"/>
        <w:rPr>
          <w:sz w:val="22"/>
          <w:szCs w:val="22"/>
          <w:highlight w:val="blue"/>
        </w:rPr>
      </w:pPr>
      <w:r w:rsidRPr="00D123CA">
        <w:rPr>
          <w:b/>
          <w:bCs/>
          <w:color w:val="FFFFFF"/>
          <w:sz w:val="22"/>
          <w:szCs w:val="22"/>
          <w:highlight w:val="blue"/>
        </w:rPr>
        <w:t>11:00 AM HST; 12:00 PM AKST; 1:00 PM PST; 2:00 PM MST; 3:00 PM CST</w:t>
      </w:r>
    </w:p>
    <w:p w:rsidR="00D123CA" w:rsidRPr="00D123CA" w:rsidRDefault="00D123CA" w:rsidP="00D123CA">
      <w:pPr>
        <w:pStyle w:val="Default"/>
        <w:jc w:val="center"/>
        <w:rPr>
          <w:sz w:val="23"/>
          <w:szCs w:val="23"/>
          <w:highlight w:val="blue"/>
        </w:rPr>
      </w:pPr>
      <w:r w:rsidRPr="00D123CA">
        <w:rPr>
          <w:b/>
          <w:bCs/>
          <w:color w:val="FFFFFF"/>
          <w:sz w:val="23"/>
          <w:szCs w:val="23"/>
          <w:highlight w:val="blue"/>
        </w:rPr>
        <w:t>Microsoft Teams meeting: Click here to join the meeting on your computer or mobile app</w:t>
      </w:r>
    </w:p>
    <w:p w:rsidR="00D123CA" w:rsidRDefault="00D123CA" w:rsidP="00D123CA">
      <w:pPr>
        <w:jc w:val="center"/>
      </w:pPr>
      <w:r w:rsidRPr="00D123CA">
        <w:rPr>
          <w:b/>
          <w:bCs/>
          <w:color w:val="FFFFFF"/>
          <w:sz w:val="23"/>
          <w:szCs w:val="23"/>
          <w:highlight w:val="blue"/>
        </w:rPr>
        <w:t>Or call in (audio only) (323) 676-6261 Access Code: 524 677 789#</w:t>
      </w:r>
    </w:p>
    <w:p w:rsidR="00D123CA" w:rsidRDefault="00D123CA" w:rsidP="00D123C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Participants </w:t>
      </w:r>
      <w:r>
        <w:rPr>
          <w:sz w:val="23"/>
          <w:szCs w:val="23"/>
        </w:rPr>
        <w:t xml:space="preserve">(attendance is marked by </w:t>
      </w:r>
      <w:r>
        <w:rPr>
          <w:b/>
          <w:bCs/>
          <w:sz w:val="23"/>
          <w:szCs w:val="23"/>
        </w:rPr>
        <w:t>bolding</w:t>
      </w:r>
      <w:r>
        <w:rPr>
          <w:sz w:val="23"/>
          <w:szCs w:val="23"/>
        </w:rPr>
        <w:t xml:space="preserve">) </w:t>
      </w:r>
    </w:p>
    <w:p w:rsidR="00D123CA" w:rsidRDefault="00D123CA" w:rsidP="00D12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States: </w:t>
      </w:r>
      <w:r w:rsidRPr="00D123CA">
        <w:rPr>
          <w:b/>
          <w:sz w:val="23"/>
          <w:szCs w:val="23"/>
        </w:rPr>
        <w:t>AK, AZ,</w:t>
      </w:r>
      <w:r>
        <w:rPr>
          <w:sz w:val="23"/>
          <w:szCs w:val="23"/>
        </w:rPr>
        <w:t xml:space="preserve"> CA, </w:t>
      </w:r>
      <w:r w:rsidRPr="00D123CA">
        <w:rPr>
          <w:b/>
          <w:sz w:val="23"/>
          <w:szCs w:val="23"/>
        </w:rPr>
        <w:t>CO, HI, ID, MT, ND, NM, NV, OR, SD, UT, WA, WY</w:t>
      </w:r>
      <w:r>
        <w:rPr>
          <w:sz w:val="23"/>
          <w:szCs w:val="23"/>
        </w:rPr>
        <w:t xml:space="preserve"> </w:t>
      </w:r>
    </w:p>
    <w:p w:rsidR="00D123CA" w:rsidRDefault="00D123CA" w:rsidP="00D12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 Air Agencies: </w:t>
      </w:r>
      <w:r w:rsidR="00D12983">
        <w:rPr>
          <w:b/>
          <w:sz w:val="23"/>
          <w:szCs w:val="23"/>
        </w:rPr>
        <w:t>Clark County</w:t>
      </w:r>
      <w:r w:rsidRPr="00D123CA">
        <w:rPr>
          <w:b/>
          <w:sz w:val="23"/>
          <w:szCs w:val="23"/>
        </w:rPr>
        <w:t>,</w:t>
      </w:r>
      <w:r w:rsidR="00D12983">
        <w:rPr>
          <w:b/>
          <w:sz w:val="23"/>
          <w:szCs w:val="23"/>
        </w:rPr>
        <w:t xml:space="preserve"> </w:t>
      </w:r>
      <w:r w:rsidRPr="00D123CA">
        <w:rPr>
          <w:b/>
          <w:sz w:val="23"/>
          <w:szCs w:val="23"/>
        </w:rPr>
        <w:t>Albuquerque</w:t>
      </w:r>
      <w:r>
        <w:rPr>
          <w:sz w:val="23"/>
          <w:szCs w:val="23"/>
        </w:rPr>
        <w:t xml:space="preserve">, Solano </w:t>
      </w:r>
    </w:p>
    <w:p w:rsidR="00D123CA" w:rsidRDefault="00D123CA" w:rsidP="00D12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Tribal Air Agencies: </w:t>
      </w:r>
    </w:p>
    <w:p w:rsidR="00D123CA" w:rsidRDefault="00D123CA" w:rsidP="00D12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Federal Land Mangers: BLM, FWS, NPS, </w:t>
      </w:r>
      <w:r w:rsidRPr="00D123CA">
        <w:rPr>
          <w:b/>
          <w:sz w:val="23"/>
          <w:szCs w:val="23"/>
        </w:rPr>
        <w:t>USFS</w:t>
      </w:r>
      <w:r>
        <w:rPr>
          <w:sz w:val="23"/>
          <w:szCs w:val="23"/>
        </w:rPr>
        <w:t xml:space="preserve"> </w:t>
      </w:r>
    </w:p>
    <w:p w:rsidR="00D123CA" w:rsidRDefault="00D123CA" w:rsidP="00D123CA">
      <w:pPr>
        <w:pStyle w:val="Default"/>
        <w:rPr>
          <w:sz w:val="23"/>
          <w:szCs w:val="23"/>
        </w:rPr>
      </w:pPr>
      <w:r w:rsidRPr="00D123CA">
        <w:rPr>
          <w:b/>
          <w:sz w:val="23"/>
          <w:szCs w:val="23"/>
        </w:rPr>
        <w:t>WESTAR</w:t>
      </w:r>
      <w:r>
        <w:rPr>
          <w:sz w:val="23"/>
          <w:szCs w:val="23"/>
        </w:rPr>
        <w:t xml:space="preserve">: </w:t>
      </w:r>
    </w:p>
    <w:p w:rsidR="00D123CA" w:rsidRDefault="00D123CA" w:rsidP="00D123CA">
      <w:pPr>
        <w:pStyle w:val="Default"/>
        <w:rPr>
          <w:sz w:val="23"/>
          <w:szCs w:val="23"/>
        </w:rPr>
      </w:pPr>
    </w:p>
    <w:p w:rsidR="002562BC" w:rsidRDefault="00D123CA" w:rsidP="00D123CA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D12983">
        <w:rPr>
          <w:b/>
          <w:bCs/>
          <w:sz w:val="23"/>
          <w:szCs w:val="23"/>
          <w:u w:val="single"/>
        </w:rPr>
        <w:t>Call to Order</w:t>
      </w:r>
      <w:r>
        <w:rPr>
          <w:sz w:val="23"/>
          <w:szCs w:val="23"/>
        </w:rPr>
        <w:t xml:space="preserve">- Chelsea </w:t>
      </w:r>
      <w:proofErr w:type="spellStart"/>
      <w:r>
        <w:rPr>
          <w:sz w:val="23"/>
          <w:szCs w:val="23"/>
        </w:rPr>
        <w:t>Cancino</w:t>
      </w:r>
      <w:proofErr w:type="spellEnd"/>
      <w:r>
        <w:rPr>
          <w:sz w:val="23"/>
          <w:szCs w:val="23"/>
        </w:rPr>
        <w:t xml:space="preserve"> (UT) and Laura Ballard (WY) </w:t>
      </w:r>
    </w:p>
    <w:p w:rsidR="002562BC" w:rsidRPr="002562BC" w:rsidRDefault="00D123CA" w:rsidP="002562BC">
      <w:pPr>
        <w:pStyle w:val="Default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Notes for this call: </w:t>
      </w:r>
      <w:r w:rsidR="002562BC">
        <w:rPr>
          <w:sz w:val="23"/>
          <w:szCs w:val="23"/>
        </w:rPr>
        <w:t>Colorado</w:t>
      </w:r>
    </w:p>
    <w:p w:rsidR="002562BC" w:rsidRPr="00D12983" w:rsidRDefault="002562BC" w:rsidP="002562BC">
      <w:pPr>
        <w:numPr>
          <w:ilvl w:val="0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  <w:u w:val="single"/>
        </w:rPr>
      </w:pPr>
      <w:r w:rsidRPr="00D12983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>Discussion Items</w:t>
      </w:r>
    </w:p>
    <w:p w:rsidR="002562BC" w:rsidRDefault="002562BC" w:rsidP="002562BC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562BC">
        <w:rPr>
          <w:rFonts w:ascii="Calibri" w:hAnsi="Calibri" w:cs="Calibri"/>
          <w:color w:val="000000"/>
          <w:sz w:val="23"/>
          <w:szCs w:val="23"/>
        </w:rPr>
        <w:t xml:space="preserve">Climate Pollution Reduction Grant </w:t>
      </w:r>
      <w:r w:rsidR="008537D4">
        <w:rPr>
          <w:rFonts w:ascii="Calibri" w:hAnsi="Calibri" w:cs="Calibri"/>
          <w:color w:val="000000"/>
          <w:sz w:val="23"/>
          <w:szCs w:val="23"/>
        </w:rPr>
        <w:t xml:space="preserve">(CPRG) </w:t>
      </w:r>
      <w:r w:rsidRPr="002562BC">
        <w:rPr>
          <w:rFonts w:ascii="Calibri" w:hAnsi="Calibri" w:cs="Calibri"/>
          <w:color w:val="000000"/>
          <w:sz w:val="23"/>
          <w:szCs w:val="23"/>
        </w:rPr>
        <w:t xml:space="preserve">Update on Phase I </w:t>
      </w:r>
      <w:r>
        <w:rPr>
          <w:rFonts w:ascii="Calibri" w:hAnsi="Calibri" w:cs="Calibri"/>
          <w:color w:val="000000"/>
          <w:sz w:val="23"/>
          <w:szCs w:val="23"/>
        </w:rPr>
        <w:t>Submission and Phase II Scoping</w:t>
      </w:r>
    </w:p>
    <w:p w:rsidR="008537D4" w:rsidRDefault="008537D4" w:rsidP="008537D4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Background:</w:t>
      </w:r>
    </w:p>
    <w:p w:rsidR="008537D4" w:rsidRDefault="008537D4" w:rsidP="008537D4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Climate Pollution Reduction Grants (CPRG) are a program included the 2022 Inflation Reduction Act</w:t>
      </w:r>
    </w:p>
    <w:p w:rsidR="008537D4" w:rsidRDefault="008537D4" w:rsidP="008537D4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8537D4">
        <w:rPr>
          <w:rFonts w:ascii="Calibri" w:hAnsi="Calibri" w:cs="Calibri"/>
          <w:color w:val="000000"/>
          <w:sz w:val="23"/>
          <w:szCs w:val="23"/>
          <w:u w:val="single"/>
        </w:rPr>
        <w:t>Phase I</w:t>
      </w:r>
      <w:r w:rsidRPr="008537D4">
        <w:rPr>
          <w:rFonts w:ascii="Calibri" w:hAnsi="Calibri" w:cs="Calibri"/>
          <w:color w:val="000000"/>
          <w:sz w:val="23"/>
          <w:szCs w:val="23"/>
        </w:rPr>
        <w:t xml:space="preserve"> provides </w:t>
      </w:r>
      <w:r w:rsidR="0080070B">
        <w:rPr>
          <w:rFonts w:ascii="Calibri" w:hAnsi="Calibri" w:cs="Calibri"/>
          <w:color w:val="000000"/>
          <w:sz w:val="23"/>
          <w:szCs w:val="23"/>
        </w:rPr>
        <w:t>(</w:t>
      </w:r>
      <w:r w:rsidR="0080070B" w:rsidRPr="0080070B">
        <w:rPr>
          <w:rFonts w:ascii="Calibri" w:hAnsi="Calibri" w:cs="Calibri"/>
          <w:b/>
          <w:color w:val="000000"/>
          <w:sz w:val="23"/>
          <w:szCs w:val="23"/>
        </w:rPr>
        <w:t>noncompetitive</w:t>
      </w:r>
      <w:r w:rsidR="0080070B">
        <w:rPr>
          <w:rFonts w:ascii="Calibri" w:hAnsi="Calibri" w:cs="Calibri"/>
          <w:color w:val="000000"/>
          <w:sz w:val="23"/>
          <w:szCs w:val="23"/>
        </w:rPr>
        <w:t xml:space="preserve">) </w:t>
      </w:r>
      <w:r w:rsidRPr="008537D4">
        <w:rPr>
          <w:rFonts w:ascii="Calibri" w:hAnsi="Calibri" w:cs="Calibri"/>
          <w:color w:val="000000"/>
          <w:sz w:val="23"/>
          <w:szCs w:val="23"/>
        </w:rPr>
        <w:t>formula planning grant funding for states ($3M each),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537D4">
        <w:rPr>
          <w:rFonts w:ascii="Calibri" w:hAnsi="Calibri" w:cs="Calibri"/>
          <w:color w:val="000000"/>
          <w:sz w:val="23"/>
          <w:szCs w:val="23"/>
        </w:rPr>
        <w:t>metropolitan areas ($1M to each of the 67 largest areas), territories ($2M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537D4">
        <w:rPr>
          <w:rFonts w:ascii="Calibri" w:hAnsi="Calibri" w:cs="Calibri"/>
          <w:color w:val="000000"/>
          <w:sz w:val="23"/>
          <w:szCs w:val="23"/>
        </w:rPr>
        <w:t>set-aside), and tribes ($25M set-aside) to develop plans to reduce</w:t>
      </w:r>
      <w:r>
        <w:rPr>
          <w:rFonts w:ascii="Calibri" w:hAnsi="Calibri" w:cs="Calibri"/>
          <w:color w:val="000000"/>
          <w:sz w:val="23"/>
          <w:szCs w:val="23"/>
        </w:rPr>
        <w:t xml:space="preserve"> greenhouse gas emissions.</w:t>
      </w:r>
    </w:p>
    <w:p w:rsidR="008537D4" w:rsidRDefault="0080070B" w:rsidP="008537D4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80070B">
        <w:rPr>
          <w:rFonts w:ascii="Calibri" w:hAnsi="Calibri" w:cs="Calibri"/>
          <w:color w:val="000000"/>
          <w:sz w:val="23"/>
          <w:szCs w:val="23"/>
        </w:rPr>
        <w:t>Planning grantees received awards in Summer/Fall 2023</w:t>
      </w:r>
    </w:p>
    <w:p w:rsidR="0080070B" w:rsidRDefault="0080070B" w:rsidP="0080070B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Priority Climate Action Plan </w:t>
      </w:r>
      <w:r w:rsidR="002B28BD">
        <w:rPr>
          <w:rFonts w:ascii="Calibri" w:hAnsi="Calibri" w:cs="Calibri"/>
          <w:color w:val="000000"/>
          <w:sz w:val="23"/>
          <w:szCs w:val="23"/>
        </w:rPr>
        <w:t xml:space="preserve">(PCAP) - due by </w:t>
      </w:r>
      <w:r>
        <w:rPr>
          <w:rFonts w:ascii="Calibri" w:hAnsi="Calibri" w:cs="Calibri"/>
          <w:color w:val="000000"/>
          <w:sz w:val="23"/>
          <w:szCs w:val="23"/>
        </w:rPr>
        <w:t>3/1/2024</w:t>
      </w:r>
      <w:r w:rsidR="002B28BD">
        <w:rPr>
          <w:rFonts w:ascii="Calibri" w:hAnsi="Calibri" w:cs="Calibri"/>
          <w:color w:val="000000"/>
          <w:sz w:val="23"/>
          <w:szCs w:val="23"/>
        </w:rPr>
        <w:t xml:space="preserve"> for </w:t>
      </w:r>
      <w:r w:rsidR="002B28BD">
        <w:rPr>
          <w:rFonts w:ascii="Calibri" w:hAnsi="Calibri" w:cs="Calibri"/>
          <w:color w:val="000000"/>
          <w:sz w:val="23"/>
          <w:szCs w:val="23"/>
        </w:rPr>
        <w:t xml:space="preserve">States and MSAs </w:t>
      </w:r>
      <w:r w:rsidR="002B28BD">
        <w:rPr>
          <w:rFonts w:ascii="Calibri" w:hAnsi="Calibri" w:cs="Calibri"/>
          <w:color w:val="000000"/>
          <w:sz w:val="23"/>
          <w:szCs w:val="23"/>
        </w:rPr>
        <w:t>and by 4/1/2024 for</w:t>
      </w:r>
      <w:r w:rsidRPr="0080070B">
        <w:rPr>
          <w:rFonts w:ascii="Calibri" w:hAnsi="Calibri" w:cs="Calibri"/>
          <w:color w:val="000000"/>
          <w:sz w:val="23"/>
          <w:szCs w:val="23"/>
        </w:rPr>
        <w:t xml:space="preserve"> Tribes and Territories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:rsidR="002B28BD" w:rsidRDefault="002B28BD" w:rsidP="002B28BD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Awardees of Implementation Grants must use them to implement measures included in the PCAP</w:t>
      </w:r>
      <w:r w:rsidR="00014D68">
        <w:rPr>
          <w:rFonts w:ascii="Calibri" w:hAnsi="Calibri" w:cs="Calibri"/>
          <w:color w:val="000000"/>
          <w:sz w:val="23"/>
          <w:szCs w:val="23"/>
        </w:rPr>
        <w:t>.</w:t>
      </w:r>
    </w:p>
    <w:p w:rsidR="0080070B" w:rsidRDefault="0080070B" w:rsidP="0080070B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Comprehensive Climate Action Plans </w:t>
      </w:r>
      <w:r w:rsidR="002B28BD">
        <w:rPr>
          <w:rFonts w:ascii="Calibri" w:hAnsi="Calibri" w:cs="Calibri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due two years after planning grant awards</w:t>
      </w:r>
      <w:r w:rsidR="002B28BD">
        <w:rPr>
          <w:rFonts w:ascii="Calibri" w:hAnsi="Calibri" w:cs="Calibri"/>
          <w:color w:val="000000"/>
          <w:sz w:val="23"/>
          <w:szCs w:val="23"/>
        </w:rPr>
        <w:t xml:space="preserve">. This corresponds to about </w:t>
      </w:r>
      <w:r>
        <w:rPr>
          <w:rFonts w:ascii="Calibri" w:hAnsi="Calibri" w:cs="Calibri"/>
          <w:color w:val="000000"/>
          <w:sz w:val="23"/>
          <w:szCs w:val="23"/>
        </w:rPr>
        <w:t>m</w:t>
      </w:r>
      <w:r w:rsidR="002B28BD">
        <w:rPr>
          <w:rFonts w:ascii="Calibri" w:hAnsi="Calibri" w:cs="Calibri"/>
          <w:color w:val="000000"/>
          <w:sz w:val="23"/>
          <w:szCs w:val="23"/>
        </w:rPr>
        <w:t>id-2025 for States and MSAs and the close of the grant period for Tribes and Territories.</w:t>
      </w:r>
    </w:p>
    <w:p w:rsidR="00655682" w:rsidRDefault="00655682" w:rsidP="00655682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Applications for Implementation Grants – due 4/1/2024 </w:t>
      </w:r>
    </w:p>
    <w:p w:rsidR="002B28BD" w:rsidRPr="0080070B" w:rsidRDefault="00014D68" w:rsidP="0080070B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States and MSAs must submit a Status Report at the end of the 4-year grant period (around mid-2027)</w:t>
      </w:r>
    </w:p>
    <w:p w:rsidR="008537D4" w:rsidRDefault="008537D4" w:rsidP="008537D4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8537D4">
        <w:rPr>
          <w:rFonts w:ascii="Calibri" w:hAnsi="Calibri" w:cs="Calibri"/>
          <w:color w:val="000000"/>
          <w:sz w:val="23"/>
          <w:szCs w:val="23"/>
          <w:u w:val="single"/>
        </w:rPr>
        <w:t>Phase II</w:t>
      </w:r>
      <w:r w:rsidRPr="008537D4">
        <w:rPr>
          <w:rFonts w:ascii="Calibri" w:hAnsi="Calibri" w:cs="Calibri"/>
          <w:color w:val="000000"/>
          <w:sz w:val="23"/>
          <w:szCs w:val="23"/>
        </w:rPr>
        <w:t xml:space="preserve"> will provide $4.6B nationwide in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0070B">
        <w:rPr>
          <w:rFonts w:ascii="Calibri" w:hAnsi="Calibri" w:cs="Calibri"/>
          <w:b/>
          <w:color w:val="000000"/>
          <w:sz w:val="23"/>
          <w:szCs w:val="23"/>
        </w:rPr>
        <w:t>competitive</w:t>
      </w:r>
      <w:r w:rsidRPr="008537D4">
        <w:rPr>
          <w:rFonts w:ascii="Calibri" w:hAnsi="Calibri" w:cs="Calibri"/>
          <w:color w:val="000000"/>
          <w:sz w:val="23"/>
          <w:szCs w:val="23"/>
        </w:rPr>
        <w:t xml:space="preserve"> implementation grant funding for government entities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537D4">
        <w:rPr>
          <w:rFonts w:ascii="Calibri" w:hAnsi="Calibri" w:cs="Calibri"/>
          <w:color w:val="000000"/>
          <w:sz w:val="23"/>
          <w:szCs w:val="23"/>
        </w:rPr>
        <w:t>participating in Phase I.</w:t>
      </w:r>
    </w:p>
    <w:p w:rsidR="002B28BD" w:rsidRDefault="002B28BD" w:rsidP="002B28BD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B28BD">
        <w:rPr>
          <w:rFonts w:ascii="Calibri" w:hAnsi="Calibri" w:cs="Calibri"/>
          <w:color w:val="000000"/>
          <w:sz w:val="23"/>
          <w:szCs w:val="23"/>
        </w:rPr>
        <w:t>$4.3 Billion competition for funding for States and MSAs.</w:t>
      </w:r>
    </w:p>
    <w:p w:rsidR="003A51BF" w:rsidRDefault="003A51BF" w:rsidP="003A51B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Awards are split into 5 Tiers (Tiers A-E) based on grant size, as shown below.</w:t>
      </w:r>
    </w:p>
    <w:p w:rsidR="003A51BF" w:rsidRPr="002B28BD" w:rsidRDefault="003A51BF" w:rsidP="003A51BF">
      <w:pPr>
        <w:autoSpaceDE w:val="0"/>
        <w:autoSpaceDN w:val="0"/>
        <w:adjustRightInd w:val="0"/>
        <w:spacing w:after="22" w:line="240" w:lineRule="auto"/>
        <w:ind w:left="396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3152775" cy="1758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432" cy="177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D68" w:rsidRPr="003A51BF" w:rsidRDefault="002B28BD" w:rsidP="003A51B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B28BD">
        <w:rPr>
          <w:rFonts w:ascii="Calibri" w:hAnsi="Calibri" w:cs="Calibri"/>
          <w:color w:val="000000"/>
          <w:sz w:val="23"/>
          <w:szCs w:val="23"/>
        </w:rPr>
        <w:t>$300 Million competition for funding for Tribes and Territories.</w:t>
      </w:r>
    </w:p>
    <w:p w:rsidR="00014D68" w:rsidRPr="003A51BF" w:rsidRDefault="00014D68" w:rsidP="003A51B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EPA intends to notify winners of implementation grants in Summer 2024 (around July 2024) and award implementation grants in Fall 2024 ( around October 2024)</w:t>
      </w:r>
    </w:p>
    <w:p w:rsidR="002562BC" w:rsidRPr="0090048C" w:rsidRDefault="002562BC" w:rsidP="0090048C">
      <w:pPr>
        <w:pStyle w:val="ListParagraph"/>
        <w:numPr>
          <w:ilvl w:val="2"/>
          <w:numId w:val="6"/>
        </w:numPr>
        <w:spacing w:before="240" w:after="22" w:line="240" w:lineRule="auto"/>
        <w:ind w:left="1814" w:hanging="187"/>
        <w:contextualSpacing w:val="0"/>
      </w:pPr>
      <w:r w:rsidRPr="0090048C">
        <w:t xml:space="preserve">Glade </w:t>
      </w:r>
      <w:proofErr w:type="spellStart"/>
      <w:r w:rsidRPr="0090048C">
        <w:t>Sowards</w:t>
      </w:r>
      <w:proofErr w:type="spellEnd"/>
      <w:r w:rsidRPr="0090048C">
        <w:t xml:space="preserve"> (UT)</w:t>
      </w:r>
    </w:p>
    <w:p w:rsidR="003A51BF" w:rsidRDefault="003A51BF" w:rsidP="003A51BF">
      <w:pPr>
        <w:pStyle w:val="ListParagraph"/>
        <w:numPr>
          <w:ilvl w:val="3"/>
          <w:numId w:val="6"/>
        </w:numPr>
      </w:pPr>
      <w:bookmarkStart w:id="0" w:name="_GoBack"/>
      <w:bookmarkEnd w:id="0"/>
      <w:r w:rsidRPr="00655682">
        <w:t xml:space="preserve">UT DEQ is lead agency for CPRG development </w:t>
      </w:r>
      <w:r w:rsidR="002D1FCB">
        <w:t>for</w:t>
      </w:r>
      <w:r w:rsidRPr="00655682">
        <w:t xml:space="preserve"> the state</w:t>
      </w:r>
    </w:p>
    <w:p w:rsidR="002D1FCB" w:rsidRPr="00655682" w:rsidRDefault="002D1FCB" w:rsidP="002D1FCB">
      <w:pPr>
        <w:pStyle w:val="ListParagraph"/>
        <w:numPr>
          <w:ilvl w:val="4"/>
          <w:numId w:val="6"/>
        </w:numPr>
      </w:pPr>
      <w:r>
        <w:t>PCAP known as the “Beehive Emission Reduction Plan”</w:t>
      </w:r>
    </w:p>
    <w:p w:rsidR="003A51BF" w:rsidRPr="00655682" w:rsidRDefault="003A51BF" w:rsidP="003A51BF">
      <w:pPr>
        <w:pStyle w:val="ListParagraph"/>
        <w:numPr>
          <w:ilvl w:val="3"/>
          <w:numId w:val="6"/>
        </w:numPr>
      </w:pPr>
      <w:r w:rsidRPr="00655682">
        <w:t xml:space="preserve">DEQ received around </w:t>
      </w:r>
      <w:r w:rsidR="00D12983" w:rsidRPr="00655682">
        <w:t xml:space="preserve">130 </w:t>
      </w:r>
      <w:r w:rsidRPr="00655682">
        <w:t>suggestions for</w:t>
      </w:r>
      <w:r w:rsidR="00D12983" w:rsidRPr="00655682">
        <w:t xml:space="preserve"> </w:t>
      </w:r>
      <w:r w:rsidRPr="00655682">
        <w:t>GHG reduction m</w:t>
      </w:r>
      <w:r w:rsidR="00D12983" w:rsidRPr="00655682">
        <w:t>easure</w:t>
      </w:r>
      <w:r w:rsidRPr="00655682">
        <w:t xml:space="preserve">s; needed to prioritize and narrow down list. </w:t>
      </w:r>
    </w:p>
    <w:p w:rsidR="00D12983" w:rsidRPr="00655682" w:rsidRDefault="003A51BF" w:rsidP="003A51BF">
      <w:pPr>
        <w:pStyle w:val="ListParagraph"/>
        <w:numPr>
          <w:ilvl w:val="4"/>
          <w:numId w:val="6"/>
        </w:numPr>
      </w:pPr>
      <w:r w:rsidRPr="00655682">
        <w:t>Factors included:  CPRG p</w:t>
      </w:r>
      <w:r w:rsidR="00D12983" w:rsidRPr="00655682">
        <w:t xml:space="preserve">rogram requirements eligibility, CPRG Phase II grant scoring system, LIDAC (low-income disproportionately impacted communities), total Phase II funding availability (keep it realistic to avoid competing with </w:t>
      </w:r>
      <w:r w:rsidRPr="00655682">
        <w:t xml:space="preserve">large states like </w:t>
      </w:r>
      <w:r w:rsidR="00D12983" w:rsidRPr="00655682">
        <w:t>CA and NY)</w:t>
      </w:r>
      <w:r w:rsidRPr="00655682">
        <w:t>, other funding sources, interactions with existing programs in UT</w:t>
      </w:r>
    </w:p>
    <w:p w:rsidR="00D12983" w:rsidRPr="00655682" w:rsidRDefault="00D12983" w:rsidP="003A51BF">
      <w:pPr>
        <w:pStyle w:val="ListParagraph"/>
        <w:numPr>
          <w:ilvl w:val="3"/>
          <w:numId w:val="6"/>
        </w:numPr>
      </w:pPr>
      <w:r w:rsidRPr="00655682">
        <w:t>Selected 14 measures (high-level groupings of ideas)</w:t>
      </w:r>
      <w:r w:rsidR="003A51BF" w:rsidRPr="00655682">
        <w:t xml:space="preserve"> including 32 example projects</w:t>
      </w:r>
    </w:p>
    <w:p w:rsidR="003A51BF" w:rsidRPr="00655682" w:rsidRDefault="00D12983" w:rsidP="003A51BF">
      <w:pPr>
        <w:pStyle w:val="ListParagraph"/>
        <w:numPr>
          <w:ilvl w:val="3"/>
          <w:numId w:val="6"/>
        </w:numPr>
      </w:pPr>
      <w:r w:rsidRPr="00655682">
        <w:t xml:space="preserve">Utah </w:t>
      </w:r>
      <w:r w:rsidR="003A51BF" w:rsidRPr="00655682">
        <w:t>PCAP Items:</w:t>
      </w:r>
    </w:p>
    <w:p w:rsidR="003A51BF" w:rsidRPr="00655682" w:rsidRDefault="003A51BF" w:rsidP="003A51BF">
      <w:pPr>
        <w:pStyle w:val="ListParagraph"/>
        <w:numPr>
          <w:ilvl w:val="4"/>
          <w:numId w:val="6"/>
        </w:numPr>
      </w:pPr>
      <w:r w:rsidRPr="00655682">
        <w:t xml:space="preserve">Statewide Omnibus application, </w:t>
      </w:r>
      <w:r w:rsidRPr="00655682">
        <w:t xml:space="preserve">$75 Million </w:t>
      </w:r>
      <w:r w:rsidRPr="00655682">
        <w:t>(Tier C), UDAQ</w:t>
      </w:r>
      <w:r w:rsidR="00D12983" w:rsidRPr="00655682">
        <w:t xml:space="preserve"> </w:t>
      </w:r>
    </w:p>
    <w:p w:rsidR="00D12983" w:rsidRPr="00655682" w:rsidRDefault="00D12983" w:rsidP="003A51BF">
      <w:pPr>
        <w:pStyle w:val="ListParagraph"/>
        <w:numPr>
          <w:ilvl w:val="4"/>
          <w:numId w:val="6"/>
        </w:numPr>
      </w:pPr>
      <w:r w:rsidRPr="00655682">
        <w:t>Utah Trail</w:t>
      </w:r>
      <w:r w:rsidR="003A51BF" w:rsidRPr="00655682">
        <w:t>s</w:t>
      </w:r>
      <w:r w:rsidRPr="00655682">
        <w:t xml:space="preserve"> </w:t>
      </w:r>
      <w:r w:rsidR="003A51BF" w:rsidRPr="00655682">
        <w:t>application, 50 million (</w:t>
      </w:r>
      <w:r w:rsidRPr="00655682">
        <w:t>Tier C)</w:t>
      </w:r>
      <w:r w:rsidR="003A51BF" w:rsidRPr="00655682">
        <w:t>, UDOT</w:t>
      </w:r>
    </w:p>
    <w:p w:rsidR="003A51BF" w:rsidRPr="00655682" w:rsidRDefault="003A51BF" w:rsidP="003A51BF">
      <w:pPr>
        <w:pStyle w:val="ListParagraph"/>
        <w:numPr>
          <w:ilvl w:val="4"/>
          <w:numId w:val="6"/>
        </w:numPr>
      </w:pPr>
      <w:r w:rsidRPr="00655682">
        <w:t>Multi-state co</w:t>
      </w:r>
      <w:r w:rsidR="00655682" w:rsidRPr="00655682">
        <w:t>alition Resilient Local Energy, $500 Million total for all states (Tier A), 32 Million for UT</w:t>
      </w:r>
    </w:p>
    <w:p w:rsidR="00D12983" w:rsidRPr="00655682" w:rsidRDefault="00D12983" w:rsidP="00655682">
      <w:pPr>
        <w:pStyle w:val="ListParagraph"/>
        <w:numPr>
          <w:ilvl w:val="3"/>
          <w:numId w:val="6"/>
        </w:numPr>
      </w:pPr>
      <w:r w:rsidRPr="00655682">
        <w:t xml:space="preserve">Salt Lake MSA </w:t>
      </w:r>
      <w:r w:rsidR="00655682" w:rsidRPr="00655682">
        <w:t>PCAP Items:</w:t>
      </w:r>
    </w:p>
    <w:p w:rsidR="00655682" w:rsidRPr="00655682" w:rsidRDefault="00655682" w:rsidP="00655682">
      <w:pPr>
        <w:pStyle w:val="ListParagraph"/>
        <w:numPr>
          <w:ilvl w:val="4"/>
          <w:numId w:val="6"/>
        </w:numPr>
      </w:pPr>
      <w:r w:rsidRPr="00655682">
        <w:t>Multi-family Buildings application, (Tier E), Salt Lake County</w:t>
      </w:r>
    </w:p>
    <w:p w:rsidR="00655682" w:rsidRPr="00655682" w:rsidRDefault="00655682" w:rsidP="00655682">
      <w:pPr>
        <w:pStyle w:val="ListParagraph"/>
        <w:numPr>
          <w:ilvl w:val="4"/>
          <w:numId w:val="6"/>
        </w:numPr>
      </w:pPr>
      <w:r w:rsidRPr="00655682">
        <w:t xml:space="preserve">UT Renewable Communities application, $49 Million (Tier D), </w:t>
      </w:r>
      <w:proofErr w:type="spellStart"/>
      <w:r w:rsidRPr="00655682">
        <w:t>SLCGreen</w:t>
      </w:r>
      <w:proofErr w:type="spellEnd"/>
      <w:r w:rsidRPr="00655682">
        <w:t xml:space="preserve"> Dept.</w:t>
      </w:r>
    </w:p>
    <w:p w:rsidR="00655682" w:rsidRDefault="00655682" w:rsidP="00655682">
      <w:pPr>
        <w:pStyle w:val="ListParagraph"/>
        <w:numPr>
          <w:ilvl w:val="4"/>
          <w:numId w:val="6"/>
        </w:numPr>
      </w:pPr>
      <w:r w:rsidRPr="00655682">
        <w:t>Tree Planting and Municipal Fleet EV Charging application, (Tier E), SLC Public Services</w:t>
      </w:r>
    </w:p>
    <w:p w:rsidR="00655682" w:rsidRPr="00655682" w:rsidRDefault="00655682" w:rsidP="00655682">
      <w:pPr>
        <w:pStyle w:val="ListParagraph"/>
        <w:numPr>
          <w:ilvl w:val="4"/>
          <w:numId w:val="6"/>
        </w:numPr>
      </w:pPr>
      <w:r>
        <w:t>Water Reclamation Facility application, (Tier D?), SLC Public Utilities Dept.</w:t>
      </w:r>
    </w:p>
    <w:p w:rsidR="00655682" w:rsidRPr="002D1FCB" w:rsidRDefault="00655682" w:rsidP="00655682">
      <w:pPr>
        <w:pStyle w:val="ListParagraph"/>
        <w:numPr>
          <w:ilvl w:val="3"/>
          <w:numId w:val="6"/>
        </w:numPr>
      </w:pPr>
      <w:r w:rsidRPr="002D1FCB">
        <w:t xml:space="preserve">Awards Announced:  July 2024 </w:t>
      </w:r>
    </w:p>
    <w:p w:rsidR="00655682" w:rsidRPr="002D1FCB" w:rsidRDefault="00655682" w:rsidP="00655682">
      <w:pPr>
        <w:pStyle w:val="ListParagraph"/>
        <w:numPr>
          <w:ilvl w:val="3"/>
          <w:numId w:val="6"/>
        </w:numPr>
      </w:pPr>
      <w:r w:rsidRPr="002D1FCB">
        <w:t>Funding A</w:t>
      </w:r>
      <w:r w:rsidR="00D12983" w:rsidRPr="002D1FCB">
        <w:t>vailable</w:t>
      </w:r>
      <w:r w:rsidRPr="002D1FCB">
        <w:t>: October 2024</w:t>
      </w:r>
    </w:p>
    <w:p w:rsidR="00D12983" w:rsidRPr="002D1FCB" w:rsidRDefault="00655682" w:rsidP="00655682">
      <w:pPr>
        <w:pStyle w:val="ListParagraph"/>
        <w:numPr>
          <w:ilvl w:val="3"/>
          <w:numId w:val="6"/>
        </w:numPr>
      </w:pPr>
      <w:r w:rsidRPr="002D1FCB">
        <w:t xml:space="preserve">Comprehensive Plan:  ongoing development, </w:t>
      </w:r>
      <w:r w:rsidR="00D12983" w:rsidRPr="002D1FCB">
        <w:t>due Summer 2025</w:t>
      </w:r>
    </w:p>
    <w:p w:rsidR="002562BC" w:rsidRDefault="002562BC" w:rsidP="00D12983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Dina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Geiszler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(WA)</w:t>
      </w:r>
    </w:p>
    <w:p w:rsidR="002D1FCB" w:rsidRPr="002D1FCB" w:rsidRDefault="00655682" w:rsidP="002D1FCB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 xml:space="preserve">WA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Dept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of Commerce is lead agency for CPRG </w:t>
      </w:r>
      <w:r w:rsidR="00235EB5">
        <w:rPr>
          <w:rFonts w:ascii="Calibri" w:hAnsi="Calibri" w:cs="Calibri"/>
          <w:color w:val="000000"/>
          <w:sz w:val="23"/>
          <w:szCs w:val="23"/>
        </w:rPr>
        <w:t>for</w:t>
      </w:r>
      <w:r>
        <w:rPr>
          <w:rFonts w:ascii="Calibri" w:hAnsi="Calibri" w:cs="Calibri"/>
          <w:color w:val="000000"/>
          <w:sz w:val="23"/>
          <w:szCs w:val="23"/>
        </w:rPr>
        <w:t xml:space="preserve"> the state</w:t>
      </w:r>
    </w:p>
    <w:p w:rsidR="00235EB5" w:rsidRDefault="00235EB5" w:rsidP="00655682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Puget Sound Clean Air Agency is lead agency for Seattle-Tacoma-Bellevue MSA</w:t>
      </w:r>
    </w:p>
    <w:p w:rsidR="008A6D1F" w:rsidRDefault="008A6D1F" w:rsidP="00655682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State PCAP focused on Measures in 5 Sectors</w:t>
      </w:r>
    </w:p>
    <w:p w:rsidR="008A6D1F" w:rsidRDefault="008A6D1F" w:rsidP="008A6D1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Buildings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Refrigerant Management in grocery stores</w:t>
      </w:r>
    </w:p>
    <w:p w:rsidR="008A6D1F" w:rsidRDefault="008A6D1F" w:rsidP="008A6D1F">
      <w:pPr>
        <w:numPr>
          <w:ilvl w:val="6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Focus on replacing high GWP refrigeration equipment in grocery stores, prioritize DI communities</w:t>
      </w:r>
    </w:p>
    <w:p w:rsidR="008A6D1F" w:rsidRDefault="008A6D1F" w:rsidP="008A6D1F">
      <w:pPr>
        <w:numPr>
          <w:ilvl w:val="6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Another program may focus on residential HVAC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refirgerants</w:t>
      </w:r>
      <w:proofErr w:type="spellEnd"/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Decarbonize campus energy systems</w:t>
      </w:r>
    </w:p>
    <w:p w:rsidR="008A6D1F" w:rsidRDefault="008A6D1F" w:rsidP="008A6D1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Waste Management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Organics Management</w:t>
      </w:r>
    </w:p>
    <w:p w:rsidR="008A6D1F" w:rsidRDefault="008A6D1F" w:rsidP="008A6D1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Transportation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Scrap and replace fossil-fuel powered commercial vehicles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Marine terminal electrification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Ensure walkable/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bikeable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streets provide access to transit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Reduce fleet emissions for rural and special needs transit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Enable rail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decarbonization</w:t>
      </w:r>
      <w:proofErr w:type="spellEnd"/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Electrify municipal and tribal fleets, including expanded charging infrastructure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Shift transport from trucking to water to reduce VMT</w:t>
      </w:r>
    </w:p>
    <w:p w:rsidR="008A6D1F" w:rsidRDefault="008A6D1F" w:rsidP="008A6D1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Electric Power</w:t>
      </w:r>
    </w:p>
    <w:p w:rsidR="008A6D1F" w:rsidRDefault="008A6D1F" w:rsidP="008A6D1F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Support tribal energy sovereignty through Tribal Clean Energy Grants</w:t>
      </w:r>
    </w:p>
    <w:p w:rsidR="008A6D1F" w:rsidRDefault="008A6D1F" w:rsidP="008A6D1F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Agriculture</w:t>
      </w:r>
    </w:p>
    <w:p w:rsidR="00080CEE" w:rsidRDefault="008A6D1F" w:rsidP="00D12983">
      <w:pPr>
        <w:numPr>
          <w:ilvl w:val="5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Fund anaerobic digesters </w:t>
      </w:r>
    </w:p>
    <w:p w:rsidR="002D1FCB" w:rsidRPr="002D1FCB" w:rsidRDefault="002D1FCB" w:rsidP="00080CEE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D1FCB">
        <w:rPr>
          <w:rFonts w:ascii="Calibri" w:hAnsi="Calibri" w:cs="Calibri"/>
          <w:color w:val="000000"/>
          <w:sz w:val="23"/>
          <w:szCs w:val="23"/>
        </w:rPr>
        <w:t xml:space="preserve">Statewide PCAP measures include:  </w:t>
      </w:r>
    </w:p>
    <w:p w:rsidR="00D12983" w:rsidRPr="002D1FCB" w:rsidRDefault="002D1FCB" w:rsidP="002D1FCB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D1FCB">
        <w:rPr>
          <w:rFonts w:ascii="Calibri" w:hAnsi="Calibri" w:cs="Calibri"/>
          <w:color w:val="000000"/>
          <w:sz w:val="23"/>
          <w:szCs w:val="23"/>
        </w:rPr>
        <w:t>Total of around $</w:t>
      </w:r>
      <w:r w:rsidR="00D12983" w:rsidRPr="002D1FCB">
        <w:t>470 mil</w:t>
      </w:r>
      <w:r w:rsidRPr="002D1FCB">
        <w:t>lion for measures implemented by Dept. of Ecology and Dept. of Transportation</w:t>
      </w:r>
    </w:p>
    <w:p w:rsidR="002D1FCB" w:rsidRPr="002D1FCB" w:rsidRDefault="002D1FCB" w:rsidP="002D1FCB">
      <w:pPr>
        <w:numPr>
          <w:ilvl w:val="4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2D1FCB">
        <w:t>Total of about $82 million for measures implemented by 8 tribes, one local government, and Dept. of Commerce</w:t>
      </w:r>
    </w:p>
    <w:p w:rsidR="002562BC" w:rsidRDefault="00D12983" w:rsidP="0090048C">
      <w:pPr>
        <w:numPr>
          <w:ilvl w:val="2"/>
          <w:numId w:val="6"/>
        </w:numPr>
        <w:autoSpaceDE w:val="0"/>
        <w:autoSpaceDN w:val="0"/>
        <w:adjustRightInd w:val="0"/>
        <w:spacing w:before="240" w:after="22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Aislinn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Johns (ID)</w:t>
      </w:r>
    </w:p>
    <w:p w:rsidR="002D1FCB" w:rsidRDefault="002D1FCB" w:rsidP="002D1FCB">
      <w:pPr>
        <w:pStyle w:val="ListParagraph"/>
        <w:numPr>
          <w:ilvl w:val="3"/>
          <w:numId w:val="6"/>
        </w:numPr>
      </w:pPr>
      <w:r>
        <w:t xml:space="preserve">ID </w:t>
      </w:r>
      <w:r w:rsidRPr="00655682">
        <w:t>DEQ is lead agency for CPRG development</w:t>
      </w:r>
      <w:r>
        <w:t xml:space="preserve"> for</w:t>
      </w:r>
      <w:r w:rsidRPr="00655682">
        <w:t xml:space="preserve"> the state</w:t>
      </w:r>
    </w:p>
    <w:p w:rsidR="002D1FCB" w:rsidRDefault="002D1FCB" w:rsidP="002D1FCB">
      <w:pPr>
        <w:pStyle w:val="ListParagraph"/>
        <w:numPr>
          <w:ilvl w:val="4"/>
          <w:numId w:val="6"/>
        </w:numPr>
      </w:pPr>
      <w:r>
        <w:t>PCAP known as the “Gem State Air Quality Initiative”</w:t>
      </w:r>
    </w:p>
    <w:p w:rsidR="002D1FCB" w:rsidRDefault="002D1FCB" w:rsidP="002D1FCB">
      <w:pPr>
        <w:pStyle w:val="ListParagraph"/>
        <w:numPr>
          <w:ilvl w:val="3"/>
          <w:numId w:val="6"/>
        </w:numPr>
      </w:pPr>
      <w:r>
        <w:t>Agriculture is largest GHG source (40%), Transportation is 2</w:t>
      </w:r>
      <w:r w:rsidRPr="002D1FCB">
        <w:rPr>
          <w:vertAlign w:val="superscript"/>
        </w:rPr>
        <w:t>nd</w:t>
      </w:r>
      <w:r>
        <w:t xml:space="preserve"> largest GHG source (30%)</w:t>
      </w:r>
    </w:p>
    <w:p w:rsidR="00713442" w:rsidRDefault="00713442" w:rsidP="002D1FCB">
      <w:pPr>
        <w:pStyle w:val="ListParagraph"/>
        <w:numPr>
          <w:ilvl w:val="3"/>
          <w:numId w:val="6"/>
        </w:numPr>
      </w:pPr>
      <w:r>
        <w:t>Agriculture measures include:</w:t>
      </w:r>
    </w:p>
    <w:p w:rsidR="00713442" w:rsidRDefault="00713442" w:rsidP="00713442">
      <w:pPr>
        <w:pStyle w:val="ListParagraph"/>
        <w:numPr>
          <w:ilvl w:val="4"/>
          <w:numId w:val="6"/>
        </w:numPr>
      </w:pPr>
      <w:r>
        <w:t>Climate Smart Agriculture practices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Soil health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lastRenderedPageBreak/>
        <w:t>Nitrogen management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Manure and feed management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Energy efficiency,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On-farm energy production</w:t>
      </w:r>
    </w:p>
    <w:p w:rsidR="00713442" w:rsidRDefault="00713442" w:rsidP="00713442">
      <w:pPr>
        <w:pStyle w:val="ListParagraph"/>
        <w:numPr>
          <w:ilvl w:val="3"/>
          <w:numId w:val="6"/>
        </w:numPr>
      </w:pPr>
      <w:r>
        <w:t>Transportation measures include:</w:t>
      </w:r>
    </w:p>
    <w:p w:rsidR="00713442" w:rsidRDefault="00713442" w:rsidP="00713442">
      <w:pPr>
        <w:pStyle w:val="ListParagraph"/>
        <w:numPr>
          <w:ilvl w:val="4"/>
          <w:numId w:val="6"/>
        </w:numPr>
      </w:pPr>
      <w:r>
        <w:t>Sustainable Transportation Networks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Public Transit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Active Transportation</w:t>
      </w:r>
    </w:p>
    <w:p w:rsidR="00713442" w:rsidRDefault="00713442" w:rsidP="00713442">
      <w:pPr>
        <w:pStyle w:val="ListParagraph"/>
        <w:numPr>
          <w:ilvl w:val="6"/>
          <w:numId w:val="6"/>
        </w:numPr>
      </w:pPr>
      <w:r>
        <w:t xml:space="preserve">Biking and Pedestrian </w:t>
      </w:r>
      <w:r>
        <w:t>infrastructure</w:t>
      </w:r>
    </w:p>
    <w:p w:rsidR="00713442" w:rsidRDefault="00713442" w:rsidP="00713442">
      <w:pPr>
        <w:pStyle w:val="ListParagraph"/>
        <w:numPr>
          <w:ilvl w:val="6"/>
          <w:numId w:val="6"/>
        </w:numPr>
      </w:pPr>
      <w:r>
        <w:t>Biking as alternative transportation method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Traffic Flow Improvements</w:t>
      </w:r>
    </w:p>
    <w:p w:rsidR="00713442" w:rsidRDefault="00713442" w:rsidP="00713442">
      <w:pPr>
        <w:pStyle w:val="ListParagraph"/>
        <w:numPr>
          <w:ilvl w:val="4"/>
          <w:numId w:val="6"/>
        </w:numPr>
      </w:pPr>
      <w:r>
        <w:t>Transition to Sustainable, Cleaner Fuels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Biodiesel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Electricity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Ethanol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Hydrogen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Natural Gas</w:t>
      </w:r>
    </w:p>
    <w:p w:rsidR="00713442" w:rsidRDefault="00713442" w:rsidP="00713442">
      <w:pPr>
        <w:pStyle w:val="ListParagraph"/>
        <w:numPr>
          <w:ilvl w:val="5"/>
          <w:numId w:val="6"/>
        </w:numPr>
      </w:pPr>
      <w:r>
        <w:t>Propane</w:t>
      </w:r>
    </w:p>
    <w:p w:rsidR="00713442" w:rsidRDefault="00713442" w:rsidP="00713442">
      <w:pPr>
        <w:pStyle w:val="ListParagraph"/>
        <w:numPr>
          <w:ilvl w:val="4"/>
          <w:numId w:val="6"/>
        </w:numPr>
      </w:pPr>
      <w:r>
        <w:t xml:space="preserve">Truck-to-Rail </w:t>
      </w:r>
      <w:proofErr w:type="spellStart"/>
      <w:r>
        <w:t>Transload</w:t>
      </w:r>
      <w:proofErr w:type="spellEnd"/>
      <w:r>
        <w:t xml:space="preserve"> facility in SE Idaho</w:t>
      </w:r>
    </w:p>
    <w:p w:rsidR="00713442" w:rsidRDefault="00713442" w:rsidP="0090048C">
      <w:pPr>
        <w:pStyle w:val="ListParagraph"/>
        <w:numPr>
          <w:ilvl w:val="2"/>
          <w:numId w:val="6"/>
        </w:numPr>
        <w:spacing w:before="240" w:after="22" w:line="240" w:lineRule="auto"/>
        <w:ind w:left="1814" w:hanging="187"/>
        <w:contextualSpacing w:val="0"/>
      </w:pPr>
      <w:r>
        <w:t>Morgan Schafer (OR)</w:t>
      </w:r>
    </w:p>
    <w:p w:rsidR="00713442" w:rsidRDefault="00713442" w:rsidP="00713442">
      <w:pPr>
        <w:pStyle w:val="ListParagraph"/>
        <w:numPr>
          <w:ilvl w:val="3"/>
          <w:numId w:val="6"/>
        </w:numPr>
      </w:pPr>
      <w:r>
        <w:t>OR</w:t>
      </w:r>
      <w:r>
        <w:t xml:space="preserve"> </w:t>
      </w:r>
      <w:r w:rsidRPr="00655682">
        <w:t>DEQ is lead agency for CPRG development</w:t>
      </w:r>
      <w:r>
        <w:t xml:space="preserve"> for</w:t>
      </w:r>
      <w:r w:rsidRPr="00655682">
        <w:t xml:space="preserve"> the state</w:t>
      </w:r>
    </w:p>
    <w:p w:rsidR="00167985" w:rsidRDefault="00167985" w:rsidP="00167985">
      <w:pPr>
        <w:pStyle w:val="ListParagraph"/>
        <w:numPr>
          <w:ilvl w:val="3"/>
          <w:numId w:val="6"/>
        </w:numPr>
      </w:pPr>
      <w:r>
        <w:t>Transportation is largest GHG source (35</w:t>
      </w:r>
      <w:r>
        <w:t>%</w:t>
      </w:r>
      <w:r>
        <w:t xml:space="preserve"> +</w:t>
      </w:r>
      <w:r w:rsidR="00995869">
        <w:t>), Residential &amp; Commercial Buildings</w:t>
      </w:r>
      <w:r>
        <w:t xml:space="preserve"> is 2</w:t>
      </w:r>
      <w:r w:rsidRPr="002D1FCB">
        <w:rPr>
          <w:vertAlign w:val="superscript"/>
        </w:rPr>
        <w:t>nd</w:t>
      </w:r>
      <w:r>
        <w:t xml:space="preserve"> largest GHG source (34</w:t>
      </w:r>
      <w:r>
        <w:t>%)</w:t>
      </w:r>
      <w:r w:rsidR="00995869">
        <w:t>, Waste &amp; Materials Management was 3</w:t>
      </w:r>
      <w:r w:rsidR="00995869" w:rsidRPr="00995869">
        <w:rPr>
          <w:vertAlign w:val="superscript"/>
        </w:rPr>
        <w:t>rd</w:t>
      </w:r>
      <w:r w:rsidR="00995869">
        <w:t xml:space="preserve"> focus</w:t>
      </w:r>
    </w:p>
    <w:p w:rsidR="00713442" w:rsidRDefault="00995869" w:rsidP="00713442">
      <w:pPr>
        <w:pStyle w:val="ListParagraph"/>
        <w:numPr>
          <w:ilvl w:val="3"/>
          <w:numId w:val="6"/>
        </w:numPr>
      </w:pPr>
      <w:r>
        <w:t>Transportation measures include: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Light-duty vehicle and charging incentive, focus on low-, moderate-income, and DI communities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Medium- and Heavy-duty vehicle and infrastructure incentives</w:t>
      </w:r>
    </w:p>
    <w:p w:rsidR="00995869" w:rsidRDefault="00995869" w:rsidP="00995869">
      <w:pPr>
        <w:pStyle w:val="ListParagraph"/>
        <w:numPr>
          <w:ilvl w:val="3"/>
          <w:numId w:val="6"/>
        </w:numPr>
      </w:pPr>
      <w:r>
        <w:t>Residential and Commercial Building measures include: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Incentives to build more efficient housing (residential)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Incentives for early/voluntary adoption of Building Performance Standard (BPS) requirements (commercial)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Incentives for residential heat pumps (residential)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Weatherization assistance (residential)</w:t>
      </w:r>
    </w:p>
    <w:p w:rsidR="0090048C" w:rsidRDefault="0090048C" w:rsidP="00995869">
      <w:pPr>
        <w:pStyle w:val="ListParagraph"/>
        <w:numPr>
          <w:ilvl w:val="4"/>
          <w:numId w:val="6"/>
        </w:numPr>
      </w:pPr>
      <w:r>
        <w:t>Building reuse and space-efficient housing</w:t>
      </w:r>
    </w:p>
    <w:p w:rsidR="00995869" w:rsidRDefault="00995869" w:rsidP="00995869">
      <w:pPr>
        <w:pStyle w:val="ListParagraph"/>
        <w:numPr>
          <w:ilvl w:val="3"/>
          <w:numId w:val="6"/>
        </w:numPr>
      </w:pPr>
      <w:r>
        <w:t>Materials and Waste Management</w:t>
      </w:r>
    </w:p>
    <w:p w:rsidR="00995869" w:rsidRDefault="00995869" w:rsidP="00995869">
      <w:pPr>
        <w:pStyle w:val="ListParagraph"/>
        <w:numPr>
          <w:ilvl w:val="4"/>
          <w:numId w:val="6"/>
        </w:numPr>
      </w:pPr>
      <w:r>
        <w:t>GHG reductions in lifecycle of food</w:t>
      </w:r>
    </w:p>
    <w:p w:rsidR="00995869" w:rsidRDefault="00995869" w:rsidP="00995869">
      <w:pPr>
        <w:pStyle w:val="ListParagraph"/>
        <w:numPr>
          <w:ilvl w:val="5"/>
          <w:numId w:val="6"/>
        </w:numPr>
      </w:pPr>
      <w:r>
        <w:t>Avoiding food waste</w:t>
      </w:r>
    </w:p>
    <w:p w:rsidR="00995869" w:rsidRDefault="0090048C" w:rsidP="00995869">
      <w:pPr>
        <w:pStyle w:val="ListParagraph"/>
        <w:numPr>
          <w:ilvl w:val="5"/>
          <w:numId w:val="6"/>
        </w:numPr>
      </w:pPr>
      <w:r>
        <w:t>Upgraded/new composting facilities</w:t>
      </w:r>
    </w:p>
    <w:p w:rsidR="0090048C" w:rsidRDefault="0090048C" w:rsidP="00995869">
      <w:pPr>
        <w:pStyle w:val="ListParagraph"/>
        <w:numPr>
          <w:ilvl w:val="5"/>
          <w:numId w:val="6"/>
        </w:numPr>
      </w:pPr>
      <w:r>
        <w:t>Community composting grants</w:t>
      </w:r>
    </w:p>
    <w:p w:rsidR="0090048C" w:rsidRPr="002D1FCB" w:rsidRDefault="0090048C" w:rsidP="0090048C">
      <w:pPr>
        <w:pStyle w:val="ListParagraph"/>
        <w:numPr>
          <w:ilvl w:val="4"/>
          <w:numId w:val="6"/>
        </w:numPr>
      </w:pPr>
      <w:r>
        <w:t>Capture of landfill gas</w:t>
      </w:r>
    </w:p>
    <w:p w:rsidR="002562BC" w:rsidRDefault="00167985" w:rsidP="002562BC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Q/A and Group Discussion</w:t>
      </w:r>
    </w:p>
    <w:p w:rsidR="00167985" w:rsidRPr="002562BC" w:rsidRDefault="00167985" w:rsidP="00167985">
      <w:pPr>
        <w:numPr>
          <w:ilvl w:val="3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 xml:space="preserve">Q/A during each presentation, not much time left for additional Q/A or group discussion </w:t>
      </w:r>
    </w:p>
    <w:p w:rsidR="002562BC" w:rsidRPr="00D12983" w:rsidRDefault="002562BC" w:rsidP="002562BC">
      <w:pPr>
        <w:numPr>
          <w:ilvl w:val="0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  <w:r w:rsidRPr="00D12983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>Actions/Updates</w:t>
      </w:r>
    </w:p>
    <w:p w:rsidR="002562BC" w:rsidRDefault="002562BC" w:rsidP="002562BC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62BC">
        <w:rPr>
          <w:rFonts w:ascii="Calibri" w:hAnsi="Calibri" w:cs="Calibri"/>
          <w:bCs/>
          <w:color w:val="000000"/>
          <w:sz w:val="23"/>
          <w:szCs w:val="23"/>
        </w:rPr>
        <w:t>Any new actions for discussion or awareness?</w:t>
      </w:r>
    </w:p>
    <w:p w:rsidR="002562BC" w:rsidRPr="002562BC" w:rsidRDefault="002C62F4" w:rsidP="002562BC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hyperlink r:id="rId6" w:anchor="/registration" w:history="1">
        <w:r w:rsidR="002562BC" w:rsidRPr="002C62F4">
          <w:rPr>
            <w:rStyle w:val="Hyperlink"/>
            <w:rFonts w:ascii="Calibri" w:hAnsi="Calibri" w:cs="Calibri"/>
            <w:sz w:val="23"/>
            <w:szCs w:val="23"/>
          </w:rPr>
          <w:t>EPA Rx Fire and Smoke Management Planning Webinar</w:t>
        </w:r>
      </w:hyperlink>
    </w:p>
    <w:p w:rsidR="002562BC" w:rsidRDefault="00D12983" w:rsidP="002562BC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May 15, 2024 1-2 PM MST</w:t>
      </w:r>
    </w:p>
    <w:p w:rsidR="002C62F4" w:rsidRPr="002C62F4" w:rsidRDefault="002C62F4" w:rsidP="002562BC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hyperlink r:id="rId7" w:history="1">
        <w:r w:rsidR="002562BC" w:rsidRPr="002C62F4">
          <w:rPr>
            <w:rStyle w:val="Hyperlink"/>
            <w:rFonts w:ascii="Calibri" w:hAnsi="Calibri" w:cs="Calibri"/>
            <w:sz w:val="23"/>
            <w:szCs w:val="23"/>
          </w:rPr>
          <w:t>WESTAR Planning Committee Contact Spreadsheet</w:t>
        </w:r>
      </w:hyperlink>
    </w:p>
    <w:p w:rsidR="002C62F4" w:rsidRPr="002C62F4" w:rsidRDefault="002562BC" w:rsidP="002C62F4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62BC">
        <w:rPr>
          <w:rFonts w:ascii="Calibri" w:hAnsi="Calibri" w:cs="Calibri"/>
          <w:color w:val="000000"/>
          <w:sz w:val="23"/>
          <w:szCs w:val="23"/>
        </w:rPr>
        <w:t xml:space="preserve">Please add your/your group </w:t>
      </w:r>
      <w:r w:rsidR="00D12983" w:rsidRPr="002562BC">
        <w:rPr>
          <w:rFonts w:ascii="Calibri" w:hAnsi="Calibri" w:cs="Calibri"/>
          <w:color w:val="000000"/>
          <w:sz w:val="23"/>
          <w:szCs w:val="23"/>
        </w:rPr>
        <w:t>members’</w:t>
      </w:r>
      <w:r w:rsidRPr="002562BC">
        <w:rPr>
          <w:rFonts w:ascii="Calibri" w:hAnsi="Calibri" w:cs="Calibri"/>
          <w:color w:val="000000"/>
          <w:sz w:val="23"/>
          <w:szCs w:val="23"/>
        </w:rPr>
        <w:t xml:space="preserve"> role</w:t>
      </w:r>
      <w:r w:rsidR="002C62F4">
        <w:rPr>
          <w:rFonts w:ascii="Calibri" w:hAnsi="Calibri" w:cs="Calibri"/>
          <w:color w:val="000000"/>
          <w:sz w:val="23"/>
          <w:szCs w:val="23"/>
        </w:rPr>
        <w:t>s for future contact reference.</w:t>
      </w:r>
    </w:p>
    <w:p w:rsidR="002C62F4" w:rsidRPr="002C62F4" w:rsidRDefault="00D12983" w:rsidP="002C62F4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hyperlink r:id="rId8" w:history="1">
        <w:r w:rsidR="002C62F4" w:rsidRPr="00D12983">
          <w:rPr>
            <w:rStyle w:val="Hyperlink"/>
            <w:rFonts w:ascii="Calibri" w:hAnsi="Calibri" w:cs="Calibri"/>
            <w:sz w:val="23"/>
            <w:szCs w:val="23"/>
          </w:rPr>
          <w:t>Topic Suggestion Google Form</w:t>
        </w:r>
      </w:hyperlink>
    </w:p>
    <w:p w:rsidR="00D12983" w:rsidRDefault="002562BC" w:rsidP="00D12983">
      <w:pPr>
        <w:numPr>
          <w:ilvl w:val="2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62BC">
        <w:rPr>
          <w:rFonts w:ascii="Calibri" w:hAnsi="Calibri" w:cs="Calibri"/>
          <w:color w:val="000000"/>
          <w:sz w:val="23"/>
          <w:szCs w:val="23"/>
        </w:rPr>
        <w:t xml:space="preserve">Please use this form to submit any topic suggestions you would like </w:t>
      </w:r>
      <w:r w:rsidR="00D12983">
        <w:rPr>
          <w:rFonts w:ascii="Calibri" w:hAnsi="Calibri" w:cs="Calibri"/>
          <w:color w:val="000000"/>
          <w:sz w:val="23"/>
          <w:szCs w:val="23"/>
        </w:rPr>
        <w:t>us to cover in future meetings.</w:t>
      </w:r>
    </w:p>
    <w:p w:rsidR="00D12983" w:rsidRPr="00D12983" w:rsidRDefault="00D12983" w:rsidP="00D12983">
      <w:pPr>
        <w:numPr>
          <w:ilvl w:val="0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  <w:r w:rsidRPr="00D12983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>Next Call</w:t>
      </w:r>
    </w:p>
    <w:p w:rsidR="001437D5" w:rsidRPr="00D12983" w:rsidRDefault="002562BC" w:rsidP="00D12983">
      <w:pPr>
        <w:numPr>
          <w:ilvl w:val="1"/>
          <w:numId w:val="6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62BC">
        <w:rPr>
          <w:rFonts w:ascii="Calibri" w:hAnsi="Calibri" w:cs="Calibri"/>
          <w:color w:val="000000"/>
          <w:sz w:val="23"/>
          <w:szCs w:val="23"/>
        </w:rPr>
        <w:t xml:space="preserve">June 6, 2024, 2:00 PM MST Notes – Hawaii </w:t>
      </w:r>
    </w:p>
    <w:sectPr w:rsidR="001437D5" w:rsidRPr="00D1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806BBB"/>
    <w:multiLevelType w:val="hybridMultilevel"/>
    <w:tmpl w:val="36C2FD63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2C45B4A6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C23C37"/>
    <w:multiLevelType w:val="hybridMultilevel"/>
    <w:tmpl w:val="CF2EB9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2019BB"/>
    <w:multiLevelType w:val="hybridMultilevel"/>
    <w:tmpl w:val="E48D097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313C08"/>
    <w:multiLevelType w:val="hybridMultilevel"/>
    <w:tmpl w:val="86586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91D9F"/>
    <w:multiLevelType w:val="hybridMultilevel"/>
    <w:tmpl w:val="293A0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769F8"/>
    <w:multiLevelType w:val="hybridMultilevel"/>
    <w:tmpl w:val="2D94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11B50"/>
    <w:multiLevelType w:val="hybridMultilevel"/>
    <w:tmpl w:val="93DC0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F34A46"/>
    <w:multiLevelType w:val="hybridMultilevel"/>
    <w:tmpl w:val="63C130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7C0AB6"/>
    <w:multiLevelType w:val="hybridMultilevel"/>
    <w:tmpl w:val="E6B07480"/>
    <w:lvl w:ilvl="0" w:tplc="0DD63A5A">
      <w:start w:val="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D5"/>
    <w:rsid w:val="00014D68"/>
    <w:rsid w:val="00080CEE"/>
    <w:rsid w:val="001437D5"/>
    <w:rsid w:val="00167985"/>
    <w:rsid w:val="00235EB5"/>
    <w:rsid w:val="002562BC"/>
    <w:rsid w:val="002B28BD"/>
    <w:rsid w:val="002C62F4"/>
    <w:rsid w:val="002D1FCB"/>
    <w:rsid w:val="0038075D"/>
    <w:rsid w:val="003A51BF"/>
    <w:rsid w:val="003B58F4"/>
    <w:rsid w:val="004C5896"/>
    <w:rsid w:val="00655682"/>
    <w:rsid w:val="0071079D"/>
    <w:rsid w:val="00713442"/>
    <w:rsid w:val="0080070B"/>
    <w:rsid w:val="008537D4"/>
    <w:rsid w:val="008A6D1F"/>
    <w:rsid w:val="0090048C"/>
    <w:rsid w:val="00995869"/>
    <w:rsid w:val="00D123CA"/>
    <w:rsid w:val="00D12983"/>
    <w:rsid w:val="00D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D41A"/>
  <w15:chartTrackingRefBased/>
  <w15:docId w15:val="{B4AEA58E-9772-4358-90A4-A1AD9BC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7D5"/>
    <w:pPr>
      <w:ind w:left="720"/>
      <w:contextualSpacing/>
    </w:pPr>
  </w:style>
  <w:style w:type="paragraph" w:customStyle="1" w:styleId="Default">
    <w:name w:val="Default"/>
    <w:rsid w:val="00D123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232xWbI4o-L1wFvcTRH5s6NKkh9_UwHuu1EvnxyaB1UVdg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sternstatesairresourc-my.sharepoint.com/:x:/g/personal/jbaker_westar_org/EebEXXPygPNBqptOYI4nJv8Bab8Y2-wcLOlDIdsOYvnV6Q?e=xqA1v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epa.zoomgov.com/webinar/register/WN_-Yuhi1HDQVmAa8kKgtUHP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CDPHE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Carloss, Weston</dc:creator>
  <cp:keywords/>
  <dc:description/>
  <cp:lastModifiedBy>Carloss, Weston</cp:lastModifiedBy>
  <cp:revision>6</cp:revision>
  <dcterms:created xsi:type="dcterms:W3CDTF">2024-06-03T18:13:00Z</dcterms:created>
  <dcterms:modified xsi:type="dcterms:W3CDTF">2024-06-03T23:26:00Z</dcterms:modified>
</cp:coreProperties>
</file>