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092C75" w14:textId="73BBC24D" w:rsidR="00481214" w:rsidRDefault="00481214" w:rsidP="00166942">
      <w:pPr>
        <w:pStyle w:val="AppendixTitle"/>
        <w:spacing w:before="0"/>
      </w:pPr>
      <w:r>
        <w:t>GLOSSARY</w:t>
      </w:r>
    </w:p>
    <w:tbl>
      <w:tblPr>
        <w:tblStyle w:val="TableGrid"/>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6480"/>
      </w:tblGrid>
      <w:tr w:rsidR="00F14747" w14:paraId="5E196660" w14:textId="77777777" w:rsidTr="008C0B34">
        <w:trPr>
          <w:tblHeader/>
        </w:trPr>
        <w:tc>
          <w:tcPr>
            <w:tcW w:w="3685" w:type="dxa"/>
            <w:shd w:val="clear" w:color="auto" w:fill="D9D9D9" w:themeFill="background1" w:themeFillShade="D9"/>
          </w:tcPr>
          <w:p w14:paraId="2A838F35" w14:textId="58E783ED" w:rsidR="00F14747" w:rsidRPr="005A4B09" w:rsidRDefault="00F14747" w:rsidP="00F14747">
            <w:pPr>
              <w:pStyle w:val="IntenseQuote"/>
              <w:jc w:val="center"/>
              <w:rPr>
                <w:color w:val="082A75" w:themeColor="text2"/>
              </w:rPr>
            </w:pPr>
            <w:r w:rsidRPr="005A4B09">
              <w:rPr>
                <w:color w:val="082A75" w:themeColor="text2"/>
              </w:rPr>
              <w:t>Term</w:t>
            </w:r>
          </w:p>
        </w:tc>
        <w:tc>
          <w:tcPr>
            <w:tcW w:w="6480" w:type="dxa"/>
            <w:shd w:val="clear" w:color="auto" w:fill="D9D9D9" w:themeFill="background1" w:themeFillShade="D9"/>
          </w:tcPr>
          <w:p w14:paraId="370F3963" w14:textId="4EF551B4" w:rsidR="00F14747" w:rsidRPr="005A4B09" w:rsidRDefault="00F14747" w:rsidP="00F14747">
            <w:pPr>
              <w:pStyle w:val="IntenseQuote"/>
              <w:jc w:val="center"/>
              <w:rPr>
                <w:color w:val="082A75" w:themeColor="text2"/>
              </w:rPr>
            </w:pPr>
            <w:r w:rsidRPr="005A4B09">
              <w:rPr>
                <w:color w:val="082A75" w:themeColor="text2"/>
              </w:rPr>
              <w:t>Definition</w:t>
            </w:r>
          </w:p>
        </w:tc>
      </w:tr>
      <w:tr w:rsidR="00A82A2D" w14:paraId="06EF15DF" w14:textId="77777777" w:rsidTr="008C0B34">
        <w:tc>
          <w:tcPr>
            <w:tcW w:w="3685" w:type="dxa"/>
          </w:tcPr>
          <w:p w14:paraId="1B2073B9" w14:textId="7C2CECB9" w:rsidR="00A82A2D" w:rsidRPr="00BF7D16" w:rsidRDefault="00A82A2D" w:rsidP="00A82A2D">
            <w:pPr>
              <w:pStyle w:val="Heading4"/>
            </w:pPr>
            <w:r w:rsidRPr="00A82A2D">
              <w:rPr>
                <w:i w:val="0"/>
                <w:iCs w:val="0"/>
              </w:rPr>
              <w:t>A</w:t>
            </w:r>
          </w:p>
        </w:tc>
        <w:tc>
          <w:tcPr>
            <w:tcW w:w="6480" w:type="dxa"/>
          </w:tcPr>
          <w:p w14:paraId="47043196" w14:textId="77777777" w:rsidR="00A82A2D" w:rsidRPr="00175A44" w:rsidRDefault="00A82A2D" w:rsidP="00A71BC6">
            <w:pPr>
              <w:pStyle w:val="Content"/>
            </w:pPr>
          </w:p>
        </w:tc>
      </w:tr>
      <w:tr w:rsidR="00A71BC6" w14:paraId="307AF30D" w14:textId="77777777" w:rsidTr="008C0B34">
        <w:tc>
          <w:tcPr>
            <w:tcW w:w="3685" w:type="dxa"/>
          </w:tcPr>
          <w:p w14:paraId="60014230" w14:textId="77777777" w:rsidR="00A71BC6" w:rsidRPr="00721136" w:rsidRDefault="00A71BC6" w:rsidP="00A71BC6">
            <w:pPr>
              <w:pStyle w:val="Content"/>
            </w:pPr>
            <w:r w:rsidRPr="00721136">
              <w:t>Analyte Calibration</w:t>
            </w:r>
          </w:p>
          <w:p w14:paraId="04BB9238" w14:textId="43758A58" w:rsidR="00D72AC9" w:rsidRPr="00721136" w:rsidRDefault="00D72AC9" w:rsidP="00A71BC6">
            <w:pPr>
              <w:pStyle w:val="Content"/>
            </w:pPr>
          </w:p>
        </w:tc>
        <w:tc>
          <w:tcPr>
            <w:tcW w:w="6480" w:type="dxa"/>
          </w:tcPr>
          <w:p w14:paraId="2AE50EF1" w14:textId="6F4677CB" w:rsidR="00A71BC6" w:rsidRPr="00721136" w:rsidRDefault="00A71BC6" w:rsidP="00A71BC6">
            <w:pPr>
              <w:pStyle w:val="Content"/>
            </w:pPr>
            <w:r w:rsidRPr="00721136">
              <w:t xml:space="preserve">The method of determining the </w:t>
            </w:r>
            <w:r w:rsidR="00752870" w:rsidRPr="00721136">
              <w:t xml:space="preserve">FTIR </w:t>
            </w:r>
            <w:r w:rsidRPr="00721136">
              <w:t>detector response to a known concentration of target compounds or pollutants.</w:t>
            </w:r>
          </w:p>
        </w:tc>
      </w:tr>
      <w:tr w:rsidR="00A71BC6" w14:paraId="040A955B" w14:textId="77777777" w:rsidTr="008C0B34">
        <w:tc>
          <w:tcPr>
            <w:tcW w:w="3685" w:type="dxa"/>
          </w:tcPr>
          <w:p w14:paraId="65E34800" w14:textId="77777777" w:rsidR="00A71BC6" w:rsidRPr="00721136" w:rsidRDefault="00A71BC6" w:rsidP="00A71BC6">
            <w:pPr>
              <w:pStyle w:val="Content"/>
            </w:pPr>
            <w:bookmarkStart w:id="0" w:name="_Hlk39565980"/>
            <w:r w:rsidRPr="00721136">
              <w:t>Analyte Spike</w:t>
            </w:r>
          </w:p>
          <w:p w14:paraId="604C8673" w14:textId="0F49376D" w:rsidR="00D72AC9" w:rsidRPr="00721136" w:rsidRDefault="00D72AC9" w:rsidP="00A71BC6">
            <w:pPr>
              <w:pStyle w:val="Content"/>
            </w:pPr>
          </w:p>
        </w:tc>
        <w:tc>
          <w:tcPr>
            <w:tcW w:w="6480" w:type="dxa"/>
          </w:tcPr>
          <w:p w14:paraId="77230707" w14:textId="77777777" w:rsidR="00A71BC6" w:rsidRDefault="00EF4208" w:rsidP="00A71BC6">
            <w:pPr>
              <w:pStyle w:val="Content"/>
            </w:pPr>
            <w:r w:rsidRPr="00721136">
              <w:t>For FTIR, t</w:t>
            </w:r>
            <w:r w:rsidR="00A71BC6" w:rsidRPr="00721136">
              <w:t xml:space="preserve">he target analyte(s) is spiked at the outlet of the sampling probe, upstream of the particulate filter, and combined with effluent at a ratio of about </w:t>
            </w:r>
            <w:r w:rsidR="00817736" w:rsidRPr="00721136">
              <w:t>1-part</w:t>
            </w:r>
            <w:r w:rsidR="00A71BC6" w:rsidRPr="00721136">
              <w:t xml:space="preserve"> spike to 9 parts effluent.</w:t>
            </w:r>
          </w:p>
          <w:p w14:paraId="72CED692" w14:textId="3E239BF6" w:rsidR="005E3525" w:rsidRPr="00721136" w:rsidRDefault="005E3525" w:rsidP="00A71BC6">
            <w:pPr>
              <w:pStyle w:val="Content"/>
            </w:pPr>
          </w:p>
        </w:tc>
      </w:tr>
      <w:bookmarkEnd w:id="0"/>
      <w:tr w:rsidR="00A71BC6" w14:paraId="7AF8D1B6" w14:textId="77777777" w:rsidTr="008C0B34">
        <w:tc>
          <w:tcPr>
            <w:tcW w:w="3685" w:type="dxa"/>
          </w:tcPr>
          <w:p w14:paraId="08BD1513" w14:textId="763BD8C7" w:rsidR="00A71BC6" w:rsidRPr="00BF7D16" w:rsidRDefault="00A71BC6" w:rsidP="00A71BC6">
            <w:pPr>
              <w:pStyle w:val="Content"/>
            </w:pPr>
            <w:r w:rsidRPr="00BF7D16">
              <w:t>Analyzer/Measurement Method</w:t>
            </w:r>
          </w:p>
          <w:p w14:paraId="6C7FE882" w14:textId="06E001D4" w:rsidR="00A71BC6" w:rsidRPr="00BF7D16" w:rsidRDefault="00A71BC6" w:rsidP="00A71BC6">
            <w:pPr>
              <w:pStyle w:val="Content"/>
            </w:pPr>
          </w:p>
        </w:tc>
        <w:tc>
          <w:tcPr>
            <w:tcW w:w="6480" w:type="dxa"/>
          </w:tcPr>
          <w:p w14:paraId="237B1A5D" w14:textId="77777777" w:rsidR="00A71BC6" w:rsidRDefault="00A71BC6" w:rsidP="00A71BC6">
            <w:pPr>
              <w:pStyle w:val="Content"/>
            </w:pPr>
            <w:r w:rsidRPr="00DA73E4">
              <w:t xml:space="preserve">The portion of the </w:t>
            </w:r>
            <w:r>
              <w:t>CEMS</w:t>
            </w:r>
            <w:r w:rsidRPr="00DA73E4">
              <w:t xml:space="preserve"> </w:t>
            </w:r>
            <w:r w:rsidR="00AD7502" w:rsidRPr="00AD7502">
              <w:t>that senses the gas or particulate and generates an output proportional to the gas or particulate concentration.</w:t>
            </w:r>
          </w:p>
          <w:p w14:paraId="0207A95C" w14:textId="15D18F82" w:rsidR="005E3525" w:rsidRPr="008E3D62" w:rsidRDefault="005E3525" w:rsidP="00A71BC6">
            <w:pPr>
              <w:pStyle w:val="Content"/>
            </w:pPr>
          </w:p>
        </w:tc>
      </w:tr>
      <w:tr w:rsidR="00A71BC6" w14:paraId="3F0253B0" w14:textId="77777777" w:rsidTr="008C0B34">
        <w:tc>
          <w:tcPr>
            <w:tcW w:w="3685" w:type="dxa"/>
          </w:tcPr>
          <w:p w14:paraId="5C902001" w14:textId="77777777" w:rsidR="00A71BC6" w:rsidRPr="00E214A3" w:rsidRDefault="00A71BC6" w:rsidP="00A71BC6">
            <w:pPr>
              <w:pStyle w:val="Content"/>
            </w:pPr>
            <w:r w:rsidRPr="00E214A3">
              <w:t>Audit Sample</w:t>
            </w:r>
          </w:p>
          <w:p w14:paraId="2D4358F5" w14:textId="5AB2E274" w:rsidR="00D72AC9" w:rsidRPr="00E214A3" w:rsidRDefault="00D72AC9" w:rsidP="00A71BC6">
            <w:pPr>
              <w:pStyle w:val="Content"/>
            </w:pPr>
          </w:p>
        </w:tc>
        <w:tc>
          <w:tcPr>
            <w:tcW w:w="6480" w:type="dxa"/>
          </w:tcPr>
          <w:p w14:paraId="0BBB5DEC" w14:textId="77777777" w:rsidR="00A71BC6" w:rsidRDefault="00A71BC6" w:rsidP="00A71BC6">
            <w:pPr>
              <w:pStyle w:val="Content"/>
            </w:pPr>
            <w:r w:rsidRPr="00E214A3">
              <w:t>Unknown</w:t>
            </w:r>
            <w:r w:rsidR="00B830B0" w:rsidRPr="00E214A3">
              <w:t xml:space="preserve"> concentration of </w:t>
            </w:r>
            <w:r w:rsidRPr="00E214A3">
              <w:t>target analyte(s) analyzed by a CEMS operator.</w:t>
            </w:r>
          </w:p>
          <w:p w14:paraId="0BB878E3" w14:textId="44AF14BD" w:rsidR="005E3525" w:rsidRPr="00E214A3" w:rsidRDefault="005E3525" w:rsidP="00A71BC6">
            <w:pPr>
              <w:pStyle w:val="Content"/>
            </w:pPr>
          </w:p>
        </w:tc>
      </w:tr>
      <w:tr w:rsidR="00A71BC6" w14:paraId="3F360DFD" w14:textId="77777777" w:rsidTr="008C0B34">
        <w:tc>
          <w:tcPr>
            <w:tcW w:w="3685" w:type="dxa"/>
          </w:tcPr>
          <w:p w14:paraId="20180C3C" w14:textId="77777777" w:rsidR="00A71BC6" w:rsidRPr="00BF7D16" w:rsidRDefault="00A71BC6" w:rsidP="00A71BC6">
            <w:pPr>
              <w:pStyle w:val="Content"/>
            </w:pPr>
            <w:r w:rsidRPr="00BF7D16">
              <w:t>Audit Spectra</w:t>
            </w:r>
          </w:p>
          <w:p w14:paraId="4F471EEB" w14:textId="5873C1E3" w:rsidR="00D72AC9" w:rsidRPr="00BF7D16" w:rsidRDefault="00D72AC9" w:rsidP="00A71BC6">
            <w:pPr>
              <w:pStyle w:val="Content"/>
            </w:pPr>
          </w:p>
        </w:tc>
        <w:tc>
          <w:tcPr>
            <w:tcW w:w="6480" w:type="dxa"/>
          </w:tcPr>
          <w:p w14:paraId="7679F196" w14:textId="42E7F130" w:rsidR="00A71BC6" w:rsidRPr="008E3D62" w:rsidRDefault="00A71BC6" w:rsidP="00A71BC6">
            <w:pPr>
              <w:pStyle w:val="Content"/>
            </w:pPr>
            <w:r w:rsidRPr="00F03770">
              <w:t>Analytical results must be within ±5 percent of the certified audit concentration for each analyte (plus the uncertainty in the audit concentration).</w:t>
            </w:r>
            <w:r>
              <w:t xml:space="preserve"> </w:t>
            </w:r>
            <w:r w:rsidRPr="007718CC">
              <w:t>Only tests the analytical program of </w:t>
            </w:r>
            <w:r>
              <w:t>Fourier Transform Infrared Spectroscopy (</w:t>
            </w:r>
            <w:r w:rsidRPr="007718CC">
              <w:t>FTIR</w:t>
            </w:r>
            <w:r>
              <w:t>)</w:t>
            </w:r>
            <w:r w:rsidRPr="007718CC">
              <w:t xml:space="preserve"> CEM</w:t>
            </w:r>
            <w:r>
              <w:t>S.</w:t>
            </w:r>
          </w:p>
        </w:tc>
      </w:tr>
      <w:tr w:rsidR="00A71BC6" w14:paraId="6821D4E1" w14:textId="77777777" w:rsidTr="008C0B34">
        <w:tc>
          <w:tcPr>
            <w:tcW w:w="3685" w:type="dxa"/>
          </w:tcPr>
          <w:p w14:paraId="0A1DAE3F" w14:textId="61E59F81" w:rsidR="00A71BC6" w:rsidRDefault="00A71BC6" w:rsidP="00A71BC6">
            <w:pPr>
              <w:pStyle w:val="Heading4"/>
            </w:pPr>
            <w:r>
              <w:rPr>
                <w:i w:val="0"/>
                <w:iCs w:val="0"/>
              </w:rPr>
              <w:t>B</w:t>
            </w:r>
          </w:p>
        </w:tc>
        <w:tc>
          <w:tcPr>
            <w:tcW w:w="6480" w:type="dxa"/>
          </w:tcPr>
          <w:p w14:paraId="2FB2598A" w14:textId="77777777" w:rsidR="00A71BC6" w:rsidRPr="008E3D62" w:rsidRDefault="00A71BC6" w:rsidP="00A71BC6">
            <w:pPr>
              <w:pStyle w:val="Content"/>
            </w:pPr>
          </w:p>
        </w:tc>
      </w:tr>
      <w:tr w:rsidR="00A71BC6" w14:paraId="4C9A19DD" w14:textId="77777777" w:rsidTr="008C0B34">
        <w:tc>
          <w:tcPr>
            <w:tcW w:w="3685" w:type="dxa"/>
          </w:tcPr>
          <w:p w14:paraId="282ACE5F" w14:textId="77777777" w:rsidR="00A71BC6" w:rsidRDefault="00A71BC6" w:rsidP="00A71BC6">
            <w:pPr>
              <w:pStyle w:val="Content"/>
            </w:pPr>
            <w:r w:rsidRPr="00291DB0">
              <w:t>Beta Gauge Particulate Matter (PM) Continuous Emission Monitoring Systems (CEMS)</w:t>
            </w:r>
          </w:p>
          <w:p w14:paraId="3DE044E2" w14:textId="6BE20A23" w:rsidR="00D72AC9" w:rsidRDefault="00D72AC9" w:rsidP="00A71BC6">
            <w:pPr>
              <w:pStyle w:val="Content"/>
            </w:pPr>
          </w:p>
        </w:tc>
        <w:tc>
          <w:tcPr>
            <w:tcW w:w="6480" w:type="dxa"/>
          </w:tcPr>
          <w:p w14:paraId="5FBF6532" w14:textId="51EF2426" w:rsidR="00A71BC6" w:rsidRPr="008E3D62" w:rsidRDefault="00A71BC6" w:rsidP="00A71BC6">
            <w:pPr>
              <w:pStyle w:val="Content"/>
            </w:pPr>
            <w:r w:rsidRPr="00520061">
              <w:t xml:space="preserve">A </w:t>
            </w:r>
            <w:r w:rsidR="00291DB0">
              <w:t>b</w:t>
            </w:r>
            <w:r w:rsidRPr="00520061">
              <w:t xml:space="preserve">eta </w:t>
            </w:r>
            <w:r w:rsidR="00291DB0">
              <w:t>g</w:t>
            </w:r>
            <w:r w:rsidRPr="00520061">
              <w:t>auge PM CEMS uses a beta radiation source and an adhesive filter tape material which collects the PM material at predetermined intervals.  The collected PM on the filter tape attenuates the beta radiation, the amount of attenuation being proportional to the mass of collected PM, and independent of particle characteristics.</w:t>
            </w:r>
          </w:p>
        </w:tc>
      </w:tr>
      <w:tr w:rsidR="00A71BC6" w14:paraId="0FFC0471" w14:textId="77777777" w:rsidTr="008C0B34">
        <w:tc>
          <w:tcPr>
            <w:tcW w:w="3685" w:type="dxa"/>
          </w:tcPr>
          <w:p w14:paraId="3437BD72" w14:textId="3A2A72E2" w:rsidR="00A71BC6" w:rsidRDefault="00A71BC6" w:rsidP="00A71BC6">
            <w:pPr>
              <w:pStyle w:val="Heading4"/>
            </w:pPr>
            <w:r>
              <w:rPr>
                <w:i w:val="0"/>
                <w:iCs w:val="0"/>
              </w:rPr>
              <w:t>C</w:t>
            </w:r>
          </w:p>
        </w:tc>
        <w:tc>
          <w:tcPr>
            <w:tcW w:w="6480" w:type="dxa"/>
          </w:tcPr>
          <w:p w14:paraId="596B99E6" w14:textId="77777777" w:rsidR="00A71BC6" w:rsidRPr="008E3D62" w:rsidRDefault="00A71BC6" w:rsidP="00A71BC6">
            <w:pPr>
              <w:pStyle w:val="Content"/>
            </w:pPr>
          </w:p>
        </w:tc>
      </w:tr>
      <w:tr w:rsidR="00A71BC6" w14:paraId="4F3B2DAA" w14:textId="77777777" w:rsidTr="008C0B34">
        <w:tc>
          <w:tcPr>
            <w:tcW w:w="3685" w:type="dxa"/>
          </w:tcPr>
          <w:p w14:paraId="47D77225" w14:textId="77777777" w:rsidR="00A71BC6" w:rsidRDefault="00A71BC6" w:rsidP="00A71BC6">
            <w:pPr>
              <w:pStyle w:val="Content"/>
            </w:pPr>
            <w:r w:rsidRPr="00291DB0">
              <w:t>Calibration Drift</w:t>
            </w:r>
            <w:r w:rsidR="00BC033A" w:rsidRPr="00291DB0">
              <w:t xml:space="preserve"> (CD)</w:t>
            </w:r>
          </w:p>
          <w:p w14:paraId="5B3D1588" w14:textId="59ABD766" w:rsidR="00D72AC9" w:rsidRDefault="00D72AC9" w:rsidP="00A71BC6">
            <w:pPr>
              <w:pStyle w:val="Content"/>
            </w:pPr>
          </w:p>
        </w:tc>
        <w:tc>
          <w:tcPr>
            <w:tcW w:w="6480" w:type="dxa"/>
          </w:tcPr>
          <w:p w14:paraId="60447AB0" w14:textId="77777777" w:rsidR="00A71BC6" w:rsidRDefault="00A71BC6" w:rsidP="00A71BC6">
            <w:pPr>
              <w:pStyle w:val="Content"/>
            </w:pPr>
            <w:r w:rsidRPr="00D13564">
              <w:t>The difference in continuous emission monitoring system</w:t>
            </w:r>
            <w:r w:rsidR="00C1299F">
              <w:t>s</w:t>
            </w:r>
            <w:r w:rsidRPr="00D13564">
              <w:t xml:space="preserve"> (CEMS) </w:t>
            </w:r>
            <w:r w:rsidR="00C1299F" w:rsidRPr="00C1299F">
              <w:t>output readings from the established reference value after a stated period of operation during which no unscheduled maintenance, repair, or adjustment took place.</w:t>
            </w:r>
          </w:p>
          <w:p w14:paraId="516FF5F2" w14:textId="7EE63321" w:rsidR="005E3525" w:rsidRPr="008E3D62" w:rsidRDefault="005E3525" w:rsidP="00A71BC6">
            <w:pPr>
              <w:pStyle w:val="Content"/>
            </w:pPr>
          </w:p>
        </w:tc>
      </w:tr>
      <w:tr w:rsidR="00A71BC6" w14:paraId="0E76CE86" w14:textId="77777777" w:rsidTr="008C0B34">
        <w:tc>
          <w:tcPr>
            <w:tcW w:w="3685" w:type="dxa"/>
          </w:tcPr>
          <w:p w14:paraId="2FD48267" w14:textId="5E03E66E" w:rsidR="00A71BC6" w:rsidRPr="00E214A3" w:rsidRDefault="00A71BC6" w:rsidP="00A71BC6">
            <w:pPr>
              <w:pStyle w:val="Content"/>
            </w:pPr>
            <w:r w:rsidRPr="00E214A3">
              <w:t xml:space="preserve">Calibration Drift </w:t>
            </w:r>
            <w:r w:rsidR="00BC033A" w:rsidRPr="00E214A3">
              <w:t xml:space="preserve">(CD) </w:t>
            </w:r>
            <w:r w:rsidRPr="00E214A3">
              <w:t>Assessment</w:t>
            </w:r>
          </w:p>
          <w:p w14:paraId="4AA06E5E" w14:textId="30735978" w:rsidR="00D72AC9" w:rsidRPr="00E214A3" w:rsidRDefault="00D72AC9" w:rsidP="00A71BC6">
            <w:pPr>
              <w:pStyle w:val="Content"/>
            </w:pPr>
          </w:p>
        </w:tc>
        <w:tc>
          <w:tcPr>
            <w:tcW w:w="6480" w:type="dxa"/>
          </w:tcPr>
          <w:p w14:paraId="7C8353C1" w14:textId="77777777" w:rsidR="00A71BC6" w:rsidRPr="00E214A3" w:rsidRDefault="00A71BC6" w:rsidP="00A71BC6">
            <w:pPr>
              <w:pStyle w:val="Content"/>
            </w:pPr>
            <w:r w:rsidRPr="00E214A3">
              <w:t xml:space="preserve">The daily check of the difference in the CEMS readings from a known value, usually a calibration gas.  </w:t>
            </w:r>
          </w:p>
          <w:p w14:paraId="07B6E4DE" w14:textId="77777777" w:rsidR="00A71BC6" w:rsidRPr="00E214A3" w:rsidRDefault="00A71BC6" w:rsidP="00A71BC6">
            <w:pPr>
              <w:pStyle w:val="Content"/>
            </w:pPr>
          </w:p>
        </w:tc>
      </w:tr>
      <w:tr w:rsidR="00A71BC6" w14:paraId="60CDEFF3" w14:textId="77777777" w:rsidTr="008C0B34">
        <w:tc>
          <w:tcPr>
            <w:tcW w:w="3685" w:type="dxa"/>
          </w:tcPr>
          <w:p w14:paraId="263D46A3" w14:textId="77777777" w:rsidR="00A71BC6" w:rsidRDefault="00A71BC6" w:rsidP="00A71BC6">
            <w:pPr>
              <w:pStyle w:val="Content"/>
            </w:pPr>
            <w:r w:rsidRPr="00291DB0">
              <w:lastRenderedPageBreak/>
              <w:t xml:space="preserve">Calibration Drift </w:t>
            </w:r>
            <w:r w:rsidR="00BC033A" w:rsidRPr="00291DB0">
              <w:t xml:space="preserve">(CD) </w:t>
            </w:r>
            <w:r w:rsidRPr="00291DB0">
              <w:t>Test</w:t>
            </w:r>
          </w:p>
          <w:p w14:paraId="2A865C94" w14:textId="543C1C45" w:rsidR="00D72AC9" w:rsidRDefault="00D72AC9" w:rsidP="00A71BC6">
            <w:pPr>
              <w:pStyle w:val="Content"/>
            </w:pPr>
          </w:p>
        </w:tc>
        <w:tc>
          <w:tcPr>
            <w:tcW w:w="6480" w:type="dxa"/>
          </w:tcPr>
          <w:p w14:paraId="0957CC7E" w14:textId="77777777" w:rsidR="00A71BC6" w:rsidRDefault="00A71BC6" w:rsidP="00A71BC6">
            <w:pPr>
              <w:pStyle w:val="Content"/>
            </w:pPr>
            <w:r>
              <w:t>A test to d</w:t>
            </w:r>
            <w:r w:rsidRPr="00BF102B">
              <w:t>etermine the magnitude of the CD each day for 7 consecutive calendar days</w:t>
            </w:r>
            <w:r w:rsidR="007B7E74">
              <w:t>. It is conducted at the zero and span values and must not deviate from the reference value by more than 2.5% of the span value.</w:t>
            </w:r>
          </w:p>
          <w:p w14:paraId="7F9A62D1" w14:textId="2E0ED03F" w:rsidR="005E3525" w:rsidRPr="008E3D62" w:rsidRDefault="005E3525" w:rsidP="00A71BC6">
            <w:pPr>
              <w:pStyle w:val="Content"/>
            </w:pPr>
          </w:p>
        </w:tc>
      </w:tr>
      <w:tr w:rsidR="00A71BC6" w14:paraId="63FFBF27" w14:textId="77777777" w:rsidTr="008C0B34">
        <w:tc>
          <w:tcPr>
            <w:tcW w:w="3685" w:type="dxa"/>
          </w:tcPr>
          <w:p w14:paraId="6C1E6209" w14:textId="608C8CFD" w:rsidR="00A71BC6" w:rsidRDefault="00A71BC6" w:rsidP="00A71BC6">
            <w:pPr>
              <w:pStyle w:val="Content"/>
            </w:pPr>
            <w:r w:rsidRPr="00291DB0">
              <w:t>Calibration Error (CE)</w:t>
            </w:r>
          </w:p>
          <w:p w14:paraId="7A246A4A" w14:textId="21156E71" w:rsidR="00D72AC9" w:rsidRDefault="00D72AC9" w:rsidP="00A71BC6">
            <w:pPr>
              <w:pStyle w:val="Content"/>
            </w:pPr>
          </w:p>
        </w:tc>
        <w:tc>
          <w:tcPr>
            <w:tcW w:w="6480" w:type="dxa"/>
          </w:tcPr>
          <w:p w14:paraId="02CE03B1" w14:textId="77777777" w:rsidR="00A71BC6" w:rsidRDefault="00A71BC6" w:rsidP="00A71BC6">
            <w:pPr>
              <w:pStyle w:val="Content"/>
            </w:pPr>
            <w:r w:rsidRPr="005E3B0E">
              <w:t>The difference between the concentration indicated by the CEMS and the known concentration generated by a calibration source when the entire CEMS (including the sampling interface) is challenged; CE test is performed to document the accuracy and linearity of the CEMS over the entire measurement range</w:t>
            </w:r>
            <w:r w:rsidR="005B69D8">
              <w:t>.</w:t>
            </w:r>
          </w:p>
          <w:p w14:paraId="620E91E4" w14:textId="084CBBD1" w:rsidR="005E3525" w:rsidRPr="008E3D62" w:rsidRDefault="005E3525" w:rsidP="00A71BC6">
            <w:pPr>
              <w:pStyle w:val="Content"/>
            </w:pPr>
          </w:p>
        </w:tc>
      </w:tr>
      <w:tr w:rsidR="00A71BC6" w14:paraId="194DC10C" w14:textId="77777777" w:rsidTr="008C0B34">
        <w:tc>
          <w:tcPr>
            <w:tcW w:w="3685" w:type="dxa"/>
          </w:tcPr>
          <w:p w14:paraId="6A467509" w14:textId="77777777" w:rsidR="00A71BC6" w:rsidRDefault="00A71BC6" w:rsidP="00A71BC6">
            <w:pPr>
              <w:pStyle w:val="Content"/>
            </w:pPr>
            <w:r w:rsidRPr="00E41199">
              <w:t>Cavity Ring-Down Spectroscopy (CRDS)</w:t>
            </w:r>
          </w:p>
          <w:p w14:paraId="438599F3" w14:textId="4E3AA3B1" w:rsidR="00D72AC9" w:rsidRDefault="00D72AC9" w:rsidP="00A71BC6">
            <w:pPr>
              <w:pStyle w:val="Content"/>
            </w:pPr>
          </w:p>
        </w:tc>
        <w:tc>
          <w:tcPr>
            <w:tcW w:w="6480" w:type="dxa"/>
          </w:tcPr>
          <w:p w14:paraId="52EEDE71" w14:textId="77777777" w:rsidR="00A71BC6" w:rsidRDefault="00A71BC6" w:rsidP="00A71BC6">
            <w:pPr>
              <w:pStyle w:val="Content"/>
            </w:pPr>
            <w:r w:rsidRPr="00716488">
              <w:t>In CRDS, the beam from a single-frequency laser diode tuned to the absorbance of the gas being measured enters a cavity defined at least two high reflectivity mirrors with a path length in kilometers, making it extremely sensitive to very low concentrations of the target gas.</w:t>
            </w:r>
            <w:r>
              <w:t xml:space="preserve"> </w:t>
            </w:r>
            <w:r w:rsidRPr="00AF5D73">
              <w:t>When the laser is on, the cavity quickly fills with reflected laser light.</w:t>
            </w:r>
            <w:r>
              <w:t xml:space="preserve"> </w:t>
            </w:r>
            <w:r w:rsidRPr="00891833">
              <w:t xml:space="preserve">A photodetector senses the small amount of light leaking through one of the mirrors to produce a signal that is directly proportional to the intensity in the cavity.  </w:t>
            </w:r>
          </w:p>
          <w:p w14:paraId="776FDBBC" w14:textId="34704AB5" w:rsidR="005E3525" w:rsidRPr="008E3D62" w:rsidRDefault="005E3525" w:rsidP="00A71BC6">
            <w:pPr>
              <w:pStyle w:val="Content"/>
            </w:pPr>
          </w:p>
        </w:tc>
      </w:tr>
      <w:tr w:rsidR="00A71BC6" w14:paraId="0341243C" w14:textId="77777777" w:rsidTr="008C0B34">
        <w:tc>
          <w:tcPr>
            <w:tcW w:w="3685" w:type="dxa"/>
          </w:tcPr>
          <w:p w14:paraId="3358CF06" w14:textId="77777777" w:rsidR="00A71BC6" w:rsidRDefault="00A71BC6" w:rsidP="00A71BC6">
            <w:pPr>
              <w:pStyle w:val="Content"/>
            </w:pPr>
            <w:r w:rsidRPr="00E41199">
              <w:t>Centroid Area</w:t>
            </w:r>
          </w:p>
          <w:p w14:paraId="5D26C208" w14:textId="3AA69172" w:rsidR="00D72AC9" w:rsidRDefault="00D72AC9" w:rsidP="00A71BC6">
            <w:pPr>
              <w:pStyle w:val="Content"/>
            </w:pPr>
          </w:p>
        </w:tc>
        <w:tc>
          <w:tcPr>
            <w:tcW w:w="6480" w:type="dxa"/>
          </w:tcPr>
          <w:p w14:paraId="7BCC5F5B" w14:textId="77777777" w:rsidR="00A71BC6" w:rsidRDefault="00A71BC6" w:rsidP="00A71BC6">
            <w:pPr>
              <w:pStyle w:val="Content"/>
            </w:pPr>
            <w:r w:rsidRPr="007B08D4">
              <w:t xml:space="preserve">Concentric area that is geometrically </w:t>
            </w:r>
            <w:proofErr w:type="gramStart"/>
            <w:r w:rsidRPr="007B08D4">
              <w:t>similar to</w:t>
            </w:r>
            <w:proofErr w:type="gramEnd"/>
            <w:r w:rsidRPr="007B08D4">
              <w:t xml:space="preserve"> the stack or duct cross section and is no greater than 1% of the stack or duct cross-sectional area</w:t>
            </w:r>
            <w:r>
              <w:t>.</w:t>
            </w:r>
          </w:p>
          <w:p w14:paraId="32EE83C0" w14:textId="30D879FB" w:rsidR="005E3525" w:rsidRPr="008E3D62" w:rsidRDefault="005E3525" w:rsidP="00A71BC6">
            <w:pPr>
              <w:pStyle w:val="Content"/>
            </w:pPr>
          </w:p>
        </w:tc>
      </w:tr>
      <w:tr w:rsidR="00BC033A" w14:paraId="2C964B38" w14:textId="77777777" w:rsidTr="008C0B34">
        <w:tc>
          <w:tcPr>
            <w:tcW w:w="3685" w:type="dxa"/>
          </w:tcPr>
          <w:p w14:paraId="591BAA3D" w14:textId="77777777" w:rsidR="00BC033A" w:rsidRDefault="00BC033A" w:rsidP="00BC033A">
            <w:pPr>
              <w:pStyle w:val="Content"/>
            </w:pPr>
            <w:r w:rsidRPr="00E41199">
              <w:t>Chemiluminescence Analyzer</w:t>
            </w:r>
          </w:p>
          <w:p w14:paraId="247B9593" w14:textId="23269B95" w:rsidR="00D72AC9" w:rsidRDefault="00D72AC9" w:rsidP="00BC033A">
            <w:pPr>
              <w:pStyle w:val="Content"/>
            </w:pPr>
          </w:p>
        </w:tc>
        <w:tc>
          <w:tcPr>
            <w:tcW w:w="6480" w:type="dxa"/>
          </w:tcPr>
          <w:p w14:paraId="5F13E423" w14:textId="77777777" w:rsidR="00BC033A" w:rsidRDefault="00BC033A" w:rsidP="00BC033A">
            <w:pPr>
              <w:pStyle w:val="Content"/>
            </w:pPr>
            <w:r>
              <w:t>U</w:t>
            </w:r>
            <w:r w:rsidRPr="000479AB">
              <w:t>ses the light-emitting chemical reaction of NO and analyzer-generated ozone to measure the concentration of the NO in a gas sample.  A successive measurement of the NO, plus NO converted from the NO</w:t>
            </w:r>
            <w:r w:rsidRPr="002D15C0">
              <w:rPr>
                <w:vertAlign w:val="subscript"/>
              </w:rPr>
              <w:t>2</w:t>
            </w:r>
            <w:r w:rsidRPr="000479AB">
              <w:t xml:space="preserve"> in the sample, gives a total NOx measurement; the difference being between the two measurements is equal to the NO</w:t>
            </w:r>
            <w:r w:rsidRPr="006F72E3">
              <w:rPr>
                <w:vertAlign w:val="subscript"/>
              </w:rPr>
              <w:t>2</w:t>
            </w:r>
            <w:r w:rsidRPr="000479AB">
              <w:t xml:space="preserve"> concentration in the sample.  </w:t>
            </w:r>
          </w:p>
          <w:p w14:paraId="3425E386" w14:textId="6A7329B5" w:rsidR="005E3525" w:rsidRPr="008E3D62" w:rsidRDefault="005E3525" w:rsidP="00BC033A">
            <w:pPr>
              <w:pStyle w:val="Content"/>
            </w:pPr>
          </w:p>
        </w:tc>
      </w:tr>
      <w:tr w:rsidR="00A71BC6" w14:paraId="1214A9E2" w14:textId="77777777" w:rsidTr="008C0B34">
        <w:tc>
          <w:tcPr>
            <w:tcW w:w="3685" w:type="dxa"/>
          </w:tcPr>
          <w:p w14:paraId="08577CED" w14:textId="77777777" w:rsidR="00A71BC6" w:rsidRDefault="00A71BC6" w:rsidP="00A71BC6">
            <w:pPr>
              <w:pStyle w:val="Content"/>
            </w:pPr>
            <w:r w:rsidRPr="00F029D3">
              <w:t>Clean Air Act (CAA)</w:t>
            </w:r>
          </w:p>
          <w:p w14:paraId="06A40415" w14:textId="1B2B5C74" w:rsidR="00FF7164" w:rsidRDefault="00FF7164" w:rsidP="00A71BC6">
            <w:pPr>
              <w:pStyle w:val="Content"/>
            </w:pPr>
          </w:p>
        </w:tc>
        <w:tc>
          <w:tcPr>
            <w:tcW w:w="6480" w:type="dxa"/>
          </w:tcPr>
          <w:p w14:paraId="467A61FB" w14:textId="77777777" w:rsidR="00A71BC6" w:rsidRDefault="00A71BC6" w:rsidP="00A71BC6">
            <w:pPr>
              <w:pStyle w:val="Content"/>
            </w:pPr>
            <w:r w:rsidRPr="008E3D62">
              <w:t xml:space="preserve">The Clean Air Act </w:t>
            </w:r>
            <w:r>
              <w:t xml:space="preserve">is the </w:t>
            </w:r>
            <w:r w:rsidRPr="00607BF1">
              <w:t xml:space="preserve">United States federal law designed to control air pollution on a national level. The Act calls for states and EPA to solve multiple air pollution problems through </w:t>
            </w:r>
            <w:r w:rsidRPr="00607BF1">
              <w:lastRenderedPageBreak/>
              <w:t>programs based on the latest science and technology information.</w:t>
            </w:r>
          </w:p>
          <w:p w14:paraId="5D3D41DD" w14:textId="380C2F2B" w:rsidR="00AD7502" w:rsidRDefault="00AD7502" w:rsidP="00A71BC6">
            <w:pPr>
              <w:pStyle w:val="Content"/>
            </w:pPr>
          </w:p>
        </w:tc>
      </w:tr>
      <w:tr w:rsidR="00A71BC6" w14:paraId="1FA85495" w14:textId="77777777" w:rsidTr="008C0B34">
        <w:tc>
          <w:tcPr>
            <w:tcW w:w="3685" w:type="dxa"/>
          </w:tcPr>
          <w:p w14:paraId="22DCED57" w14:textId="77777777" w:rsidR="00A71BC6" w:rsidRDefault="00A71BC6" w:rsidP="00A71BC6">
            <w:pPr>
              <w:pStyle w:val="Content"/>
            </w:pPr>
            <w:r w:rsidRPr="002D7824">
              <w:lastRenderedPageBreak/>
              <w:t>Continuous Emission Monitoring Systems (CEMS)</w:t>
            </w:r>
          </w:p>
          <w:p w14:paraId="2EEB9153" w14:textId="69867FE4" w:rsidR="00EC0787" w:rsidRPr="005A2FB7" w:rsidRDefault="00EC0787" w:rsidP="00A71BC6">
            <w:pPr>
              <w:pStyle w:val="Content"/>
            </w:pPr>
          </w:p>
        </w:tc>
        <w:tc>
          <w:tcPr>
            <w:tcW w:w="6480" w:type="dxa"/>
          </w:tcPr>
          <w:p w14:paraId="4E011679" w14:textId="1D6F359A" w:rsidR="00AD7502" w:rsidRPr="00AD7502" w:rsidRDefault="00A71BC6" w:rsidP="00AD7502">
            <w:pPr>
              <w:pStyle w:val="Content"/>
            </w:pPr>
            <w:r w:rsidRPr="00F02E91">
              <w:t xml:space="preserve">Total equipment </w:t>
            </w:r>
            <w:r w:rsidR="00AD7502" w:rsidRPr="00AD7502">
              <w:t>necessary to determine a gas or particulate matter emission concentration.</w:t>
            </w:r>
            <w:r w:rsidR="00AD7502">
              <w:t xml:space="preserve"> The </w:t>
            </w:r>
            <w:r w:rsidR="00AD7502" w:rsidRPr="00AD7502">
              <w:t>total equipment includes sample extraction and transport hardware, analyzer/measurement method, data recording and processing hardware, and software.</w:t>
            </w:r>
          </w:p>
          <w:p w14:paraId="1E32D87F" w14:textId="1AC7ED23" w:rsidR="00A71BC6" w:rsidRDefault="00A71BC6" w:rsidP="00A71BC6">
            <w:pPr>
              <w:pStyle w:val="Content"/>
            </w:pPr>
          </w:p>
        </w:tc>
      </w:tr>
      <w:tr w:rsidR="00A71BC6" w14:paraId="75B2BBC8" w14:textId="77777777" w:rsidTr="008C0B34">
        <w:tc>
          <w:tcPr>
            <w:tcW w:w="3685" w:type="dxa"/>
          </w:tcPr>
          <w:p w14:paraId="31DE3910" w14:textId="77777777" w:rsidR="00A71BC6" w:rsidRPr="002D7824" w:rsidRDefault="00A71BC6" w:rsidP="00A71BC6">
            <w:pPr>
              <w:pStyle w:val="Content"/>
            </w:pPr>
            <w:r w:rsidRPr="002D7824">
              <w:t>Continuous Emission Rate Monitoring Systems (CERMS)</w:t>
            </w:r>
          </w:p>
          <w:p w14:paraId="5941E918" w14:textId="67E53F0B" w:rsidR="00EC0787" w:rsidRPr="00F029D3" w:rsidRDefault="00EC0787" w:rsidP="00A71BC6">
            <w:pPr>
              <w:pStyle w:val="Content"/>
              <w:rPr>
                <w:highlight w:val="yellow"/>
              </w:rPr>
            </w:pPr>
          </w:p>
        </w:tc>
        <w:tc>
          <w:tcPr>
            <w:tcW w:w="6480" w:type="dxa"/>
          </w:tcPr>
          <w:p w14:paraId="13872621" w14:textId="77777777" w:rsidR="00A71BC6" w:rsidRDefault="00A71BC6" w:rsidP="00A71BC6">
            <w:pPr>
              <w:pStyle w:val="Content"/>
            </w:pPr>
            <w:r>
              <w:t>T</w:t>
            </w:r>
            <w:r w:rsidRPr="003A1255">
              <w:t>he total equipment required for determining and recording the pollutant mass emission rate (in terms of mass per unit of time).</w:t>
            </w:r>
          </w:p>
          <w:p w14:paraId="509816E2" w14:textId="1923F553" w:rsidR="005E3525" w:rsidRDefault="005E3525" w:rsidP="00A71BC6">
            <w:pPr>
              <w:pStyle w:val="Content"/>
            </w:pPr>
          </w:p>
        </w:tc>
      </w:tr>
      <w:tr w:rsidR="00A71BC6" w14:paraId="064DD3BD" w14:textId="77777777" w:rsidTr="008C0B34">
        <w:tc>
          <w:tcPr>
            <w:tcW w:w="3685" w:type="dxa"/>
          </w:tcPr>
          <w:p w14:paraId="4272D996" w14:textId="77777777" w:rsidR="00A71BC6" w:rsidRDefault="00A71BC6" w:rsidP="00A71BC6">
            <w:pPr>
              <w:pStyle w:val="Content"/>
            </w:pPr>
            <w:r w:rsidRPr="002D7824">
              <w:t>Continuous Monitoring Systems (CMS)</w:t>
            </w:r>
          </w:p>
          <w:p w14:paraId="634D0CC0" w14:textId="60B07471" w:rsidR="00EC0787" w:rsidRDefault="00EC0787" w:rsidP="00A71BC6">
            <w:pPr>
              <w:pStyle w:val="Content"/>
            </w:pPr>
          </w:p>
        </w:tc>
        <w:tc>
          <w:tcPr>
            <w:tcW w:w="6480" w:type="dxa"/>
          </w:tcPr>
          <w:p w14:paraId="079A721A" w14:textId="77777777" w:rsidR="00A71BC6" w:rsidRDefault="00A71BC6" w:rsidP="00A71BC6">
            <w:pPr>
              <w:pStyle w:val="Content"/>
            </w:pPr>
            <w:r>
              <w:t xml:space="preserve">Per 40 CFR, 63.2, </w:t>
            </w:r>
            <w:r w:rsidR="00F029D3">
              <w:t>c</w:t>
            </w:r>
            <w:r w:rsidR="00F029D3" w:rsidRPr="00F029D3">
              <w:t>ontinuous monitoring systems may include, but are not limited to, “continuous emission monitoring systems, continuous opacity monitoring systems, continuous parameter monitoring systems, or other manual or automatic monitoring that is used for demonstrating compliance with an applicable regulation on a continuous basis as defined by the regulation</w:t>
            </w:r>
            <w:r w:rsidR="00F029D3">
              <w:t>.”</w:t>
            </w:r>
          </w:p>
          <w:p w14:paraId="756A33B0" w14:textId="42CE8393" w:rsidR="005E3525" w:rsidRDefault="005E3525" w:rsidP="00A71BC6">
            <w:pPr>
              <w:pStyle w:val="Content"/>
            </w:pPr>
          </w:p>
        </w:tc>
      </w:tr>
      <w:tr w:rsidR="00A71BC6" w14:paraId="3FB95A43" w14:textId="77777777" w:rsidTr="008C0B34">
        <w:tc>
          <w:tcPr>
            <w:tcW w:w="3685" w:type="dxa"/>
          </w:tcPr>
          <w:p w14:paraId="248CA58C" w14:textId="77777777" w:rsidR="00A71BC6" w:rsidRDefault="00A71BC6" w:rsidP="00A71BC6">
            <w:pPr>
              <w:pStyle w:val="Content"/>
            </w:pPr>
            <w:r w:rsidRPr="002D7824">
              <w:t>Continuous Opacity Monitoring Systems (COMS)</w:t>
            </w:r>
          </w:p>
          <w:p w14:paraId="72C0A33E" w14:textId="6C6FFF05" w:rsidR="00EC0787" w:rsidRDefault="00EC0787" w:rsidP="00A71BC6">
            <w:pPr>
              <w:pStyle w:val="Content"/>
            </w:pPr>
          </w:p>
        </w:tc>
        <w:tc>
          <w:tcPr>
            <w:tcW w:w="6480" w:type="dxa"/>
          </w:tcPr>
          <w:p w14:paraId="2EBDBAF0" w14:textId="43AE6298" w:rsidR="00A71BC6" w:rsidRDefault="00F029D3" w:rsidP="00A71BC6">
            <w:pPr>
              <w:pStyle w:val="Content"/>
            </w:pPr>
            <w:r>
              <w:t>The t</w:t>
            </w:r>
            <w:r w:rsidRPr="00F029D3">
              <w:t>otal equipment used to sample, analyze, and provide a permanent record of opacity.</w:t>
            </w:r>
          </w:p>
        </w:tc>
      </w:tr>
      <w:tr w:rsidR="00A71BC6" w14:paraId="1EC730E9" w14:textId="77777777" w:rsidTr="008C0B34">
        <w:tc>
          <w:tcPr>
            <w:tcW w:w="3685" w:type="dxa"/>
          </w:tcPr>
          <w:p w14:paraId="0EBCD318" w14:textId="77777777" w:rsidR="00A71BC6" w:rsidRPr="00E214A3" w:rsidRDefault="00A71BC6" w:rsidP="00A71BC6">
            <w:pPr>
              <w:pStyle w:val="Content"/>
            </w:pPr>
            <w:r w:rsidRPr="00E214A3">
              <w:t>Cylinder Gas Audit (CGA)</w:t>
            </w:r>
          </w:p>
          <w:p w14:paraId="4A6EC1F8" w14:textId="1F975935" w:rsidR="00EC0787" w:rsidRPr="00E214A3" w:rsidRDefault="00EC0787" w:rsidP="00A71BC6">
            <w:pPr>
              <w:pStyle w:val="Content"/>
            </w:pPr>
          </w:p>
        </w:tc>
        <w:tc>
          <w:tcPr>
            <w:tcW w:w="6480" w:type="dxa"/>
          </w:tcPr>
          <w:p w14:paraId="16142B20" w14:textId="0181DC8C" w:rsidR="00A71BC6" w:rsidRPr="00E214A3" w:rsidRDefault="00A71BC6" w:rsidP="00A71BC6">
            <w:pPr>
              <w:pStyle w:val="Content"/>
            </w:pPr>
            <w:r w:rsidRPr="00E214A3">
              <w:t xml:space="preserve">Performed as </w:t>
            </w:r>
            <w:r w:rsidR="1C16E822" w:rsidRPr="00E214A3">
              <w:t>a</w:t>
            </w:r>
            <w:r w:rsidRPr="00E214A3">
              <w:t xml:space="preserve"> quarterly audit of a CEMS.  It is used to determine its </w:t>
            </w:r>
            <w:r w:rsidR="123E3718" w:rsidRPr="00E214A3">
              <w:t>accuracy</w:t>
            </w:r>
            <w:r w:rsidRPr="00E214A3">
              <w:t>.</w:t>
            </w:r>
          </w:p>
        </w:tc>
      </w:tr>
      <w:tr w:rsidR="00A71BC6" w14:paraId="5852A819" w14:textId="77777777" w:rsidTr="008C0B34">
        <w:tc>
          <w:tcPr>
            <w:tcW w:w="3685" w:type="dxa"/>
          </w:tcPr>
          <w:p w14:paraId="4DFC284F" w14:textId="3516347A" w:rsidR="00A71BC6" w:rsidRPr="00DA73E4" w:rsidRDefault="00A71BC6" w:rsidP="00A71BC6">
            <w:pPr>
              <w:pStyle w:val="Heading4"/>
            </w:pPr>
            <w:r w:rsidRPr="00BD07AC">
              <w:rPr>
                <w:i w:val="0"/>
                <w:iCs w:val="0"/>
              </w:rPr>
              <w:t>D</w:t>
            </w:r>
          </w:p>
        </w:tc>
        <w:tc>
          <w:tcPr>
            <w:tcW w:w="6480" w:type="dxa"/>
          </w:tcPr>
          <w:p w14:paraId="5DA32F19" w14:textId="77777777" w:rsidR="00A71BC6" w:rsidRPr="00DA73E4" w:rsidRDefault="00A71BC6" w:rsidP="00A71BC6">
            <w:pPr>
              <w:pStyle w:val="Content"/>
            </w:pPr>
          </w:p>
        </w:tc>
      </w:tr>
      <w:tr w:rsidR="003D396E" w14:paraId="25525FEB" w14:textId="77777777" w:rsidTr="008C0B34">
        <w:tc>
          <w:tcPr>
            <w:tcW w:w="3685" w:type="dxa"/>
          </w:tcPr>
          <w:p w14:paraId="1A6F382E" w14:textId="77777777" w:rsidR="003D396E" w:rsidRPr="00E214A3" w:rsidRDefault="003D396E" w:rsidP="003D396E">
            <w:pPr>
              <w:pStyle w:val="Content"/>
            </w:pPr>
            <w:r w:rsidRPr="00E214A3">
              <w:t>Diluent Analyzer</w:t>
            </w:r>
          </w:p>
          <w:p w14:paraId="0696D76A" w14:textId="0C45F96F" w:rsidR="00EC0787" w:rsidRPr="00E214A3" w:rsidRDefault="00EC0787" w:rsidP="003D396E">
            <w:pPr>
              <w:pStyle w:val="Content"/>
            </w:pPr>
          </w:p>
        </w:tc>
        <w:tc>
          <w:tcPr>
            <w:tcW w:w="6480" w:type="dxa"/>
          </w:tcPr>
          <w:p w14:paraId="7296D084" w14:textId="77777777" w:rsidR="003D396E" w:rsidRDefault="003D396E" w:rsidP="003D396E">
            <w:pPr>
              <w:pStyle w:val="Content"/>
            </w:pPr>
            <w:r w:rsidRPr="00E214A3">
              <w:t>That portion of the CEMS that senses diluent gases (CO</w:t>
            </w:r>
            <w:r w:rsidRPr="0039488E">
              <w:rPr>
                <w:vertAlign w:val="subscript"/>
              </w:rPr>
              <w:t>2</w:t>
            </w:r>
            <w:r w:rsidRPr="00E214A3">
              <w:t xml:space="preserve"> or O</w:t>
            </w:r>
            <w:r w:rsidRPr="0039488E">
              <w:rPr>
                <w:vertAlign w:val="subscript"/>
              </w:rPr>
              <w:t>2</w:t>
            </w:r>
            <w:r w:rsidRPr="00E214A3">
              <w:t>) and generates an output proportional to the gas concentration.</w:t>
            </w:r>
          </w:p>
          <w:p w14:paraId="63D2B40E" w14:textId="4B17FECD" w:rsidR="005E3525" w:rsidRPr="00E214A3" w:rsidRDefault="005E3525" w:rsidP="003D396E">
            <w:pPr>
              <w:pStyle w:val="Content"/>
            </w:pPr>
          </w:p>
        </w:tc>
      </w:tr>
      <w:tr w:rsidR="00BB209A" w14:paraId="5CFA6970" w14:textId="77777777" w:rsidTr="008C0B34">
        <w:tc>
          <w:tcPr>
            <w:tcW w:w="3685" w:type="dxa"/>
          </w:tcPr>
          <w:p w14:paraId="3A77823A" w14:textId="77777777" w:rsidR="00BB209A" w:rsidRDefault="00BB209A" w:rsidP="00BB209A">
            <w:pPr>
              <w:pStyle w:val="Content"/>
            </w:pPr>
            <w:r w:rsidRPr="00234ABC">
              <w:t>Diluent Gas</w:t>
            </w:r>
          </w:p>
          <w:p w14:paraId="0466B6B1" w14:textId="737ECD1F" w:rsidR="00EC0787" w:rsidRDefault="00EC0787" w:rsidP="00BB209A">
            <w:pPr>
              <w:pStyle w:val="Content"/>
            </w:pPr>
          </w:p>
        </w:tc>
        <w:tc>
          <w:tcPr>
            <w:tcW w:w="6480" w:type="dxa"/>
          </w:tcPr>
          <w:p w14:paraId="530C6F35" w14:textId="77777777" w:rsidR="00BB209A" w:rsidRDefault="00BB209A" w:rsidP="00BB209A">
            <w:pPr>
              <w:pStyle w:val="Content"/>
            </w:pPr>
            <w:r>
              <w:t>A</w:t>
            </w:r>
            <w:r w:rsidRPr="00630CA9">
              <w:t xml:space="preserve"> major gaseous constituent in a gaseous pollutant mixture. For combustion sources, either carbon dioxide (CO</w:t>
            </w:r>
            <w:r w:rsidRPr="0039488E">
              <w:rPr>
                <w:vertAlign w:val="subscript"/>
              </w:rPr>
              <w:t>2</w:t>
            </w:r>
            <w:r w:rsidRPr="00630CA9">
              <w:t>) or oxygen (O</w:t>
            </w:r>
            <w:r w:rsidRPr="0039488E">
              <w:rPr>
                <w:vertAlign w:val="subscript"/>
              </w:rPr>
              <w:t>2</w:t>
            </w:r>
            <w:r w:rsidRPr="00630CA9">
              <w:t>) or a combination of these two gases are the major gaseous diluents of interest.</w:t>
            </w:r>
          </w:p>
          <w:p w14:paraId="3BB86D6B" w14:textId="77777777" w:rsidR="005E3525" w:rsidRDefault="005E3525" w:rsidP="00BB209A">
            <w:pPr>
              <w:pStyle w:val="Content"/>
            </w:pPr>
          </w:p>
          <w:p w14:paraId="737B51B4" w14:textId="1F131FD2" w:rsidR="005E3525" w:rsidRPr="00626319" w:rsidRDefault="005E3525" w:rsidP="00BB209A">
            <w:pPr>
              <w:pStyle w:val="Content"/>
            </w:pPr>
          </w:p>
        </w:tc>
      </w:tr>
      <w:tr w:rsidR="00A71BC6" w14:paraId="29A3B1BD" w14:textId="77777777" w:rsidTr="008C0B34">
        <w:tc>
          <w:tcPr>
            <w:tcW w:w="3685" w:type="dxa"/>
          </w:tcPr>
          <w:p w14:paraId="1943FA42" w14:textId="7FE3DB9C" w:rsidR="00A71BC6" w:rsidRDefault="00A71BC6" w:rsidP="00A71BC6">
            <w:pPr>
              <w:pStyle w:val="Content"/>
            </w:pPr>
            <w:r w:rsidRPr="00234ABC">
              <w:lastRenderedPageBreak/>
              <w:t>Dilution Extractive Systems</w:t>
            </w:r>
          </w:p>
          <w:p w14:paraId="636CDDF7" w14:textId="62900822" w:rsidR="00EC0787" w:rsidRDefault="00EC0787" w:rsidP="00A71BC6">
            <w:pPr>
              <w:pStyle w:val="Content"/>
            </w:pPr>
          </w:p>
          <w:p w14:paraId="7902DD23" w14:textId="42823BFC" w:rsidR="00EC0787" w:rsidRDefault="00EC0787" w:rsidP="00A71BC6">
            <w:pPr>
              <w:pStyle w:val="Content"/>
            </w:pPr>
          </w:p>
        </w:tc>
        <w:tc>
          <w:tcPr>
            <w:tcW w:w="6480" w:type="dxa"/>
          </w:tcPr>
          <w:p w14:paraId="7DEA8956" w14:textId="04FCFCCF" w:rsidR="00A71BC6" w:rsidRPr="001965B7" w:rsidRDefault="001965B7" w:rsidP="001965B7">
            <w:pPr>
              <w:pStyle w:val="Content"/>
              <w:rPr>
                <w:szCs w:val="24"/>
              </w:rPr>
            </w:pPr>
            <w:r w:rsidRPr="001965B7">
              <w:rPr>
                <w:szCs w:val="24"/>
              </w:rPr>
              <w:t>The sample gas is diluted with dry, contamination-free air to a level below the dew point of the diluted sample gas to eliminate condensation in the sample line. The diluted sample is measured by pollutant and CO</w:t>
            </w:r>
            <w:r w:rsidRPr="0039488E">
              <w:rPr>
                <w:szCs w:val="24"/>
                <w:vertAlign w:val="subscript"/>
              </w:rPr>
              <w:t>2</w:t>
            </w:r>
            <w:r w:rsidRPr="001965B7">
              <w:rPr>
                <w:szCs w:val="24"/>
              </w:rPr>
              <w:t xml:space="preserve"> monitors operating at or near ambient concentration ranges to provide concentration measurements on a wet basis</w:t>
            </w:r>
            <w:r>
              <w:rPr>
                <w:szCs w:val="24"/>
              </w:rPr>
              <w:t>.</w:t>
            </w:r>
          </w:p>
        </w:tc>
      </w:tr>
      <w:tr w:rsidR="00A71BC6" w14:paraId="51344724" w14:textId="77777777" w:rsidTr="008C0B34">
        <w:tc>
          <w:tcPr>
            <w:tcW w:w="3685" w:type="dxa"/>
          </w:tcPr>
          <w:p w14:paraId="69330AE9" w14:textId="09F97215" w:rsidR="00A71BC6" w:rsidRDefault="00A71BC6" w:rsidP="00A71BC6">
            <w:pPr>
              <w:pStyle w:val="Heading4"/>
            </w:pPr>
            <w:r w:rsidRPr="00EA44AB">
              <w:rPr>
                <w:i w:val="0"/>
                <w:iCs w:val="0"/>
              </w:rPr>
              <w:t>E</w:t>
            </w:r>
          </w:p>
        </w:tc>
        <w:tc>
          <w:tcPr>
            <w:tcW w:w="6480" w:type="dxa"/>
          </w:tcPr>
          <w:p w14:paraId="66366E59" w14:textId="77777777" w:rsidR="00A71BC6" w:rsidRPr="00A74BF6" w:rsidRDefault="00A71BC6" w:rsidP="00A71BC6">
            <w:pPr>
              <w:pStyle w:val="Content"/>
              <w:rPr>
                <w:bCs/>
              </w:rPr>
            </w:pPr>
          </w:p>
        </w:tc>
      </w:tr>
      <w:tr w:rsidR="00A71BC6" w14:paraId="56FA2162" w14:textId="77777777" w:rsidTr="008C0B34">
        <w:tc>
          <w:tcPr>
            <w:tcW w:w="3685" w:type="dxa"/>
          </w:tcPr>
          <w:p w14:paraId="135CCC18" w14:textId="77777777" w:rsidR="00A71BC6" w:rsidRDefault="00A71BC6" w:rsidP="00A71BC6">
            <w:pPr>
              <w:pStyle w:val="Content"/>
            </w:pPr>
            <w:r w:rsidRPr="00AF403C">
              <w:t>Extractive System</w:t>
            </w:r>
          </w:p>
          <w:p w14:paraId="2BE9B8D1" w14:textId="6A928DF4" w:rsidR="00EC0787" w:rsidRDefault="00EC0787" w:rsidP="00E214A3">
            <w:pPr>
              <w:pStyle w:val="Content"/>
            </w:pPr>
          </w:p>
        </w:tc>
        <w:tc>
          <w:tcPr>
            <w:tcW w:w="6480" w:type="dxa"/>
          </w:tcPr>
          <w:p w14:paraId="4063FD53" w14:textId="47224D3A" w:rsidR="00A71BC6" w:rsidRPr="00A74BF6" w:rsidRDefault="00A71BC6" w:rsidP="00A71BC6">
            <w:pPr>
              <w:pStyle w:val="Content"/>
              <w:rPr>
                <w:bCs/>
              </w:rPr>
            </w:pPr>
            <w:r>
              <w:t>A CEMS where you w</w:t>
            </w:r>
            <w:r w:rsidRPr="003C46AC">
              <w:t xml:space="preserve">ithdraw flue gas from the stack and transport the gas to the analyzers. </w:t>
            </w:r>
            <w:r w:rsidRPr="00BF611A">
              <w:t>An extractive system may be either source-level or dilution.</w:t>
            </w:r>
          </w:p>
        </w:tc>
      </w:tr>
      <w:tr w:rsidR="00A71BC6" w14:paraId="5A31CD76" w14:textId="77777777" w:rsidTr="008C0B34">
        <w:tc>
          <w:tcPr>
            <w:tcW w:w="3685" w:type="dxa"/>
          </w:tcPr>
          <w:p w14:paraId="3FF528DD" w14:textId="00D89C29" w:rsidR="00A71BC6" w:rsidRPr="00EF5A79" w:rsidRDefault="00A71BC6" w:rsidP="00A71BC6">
            <w:pPr>
              <w:pStyle w:val="Heading4"/>
            </w:pPr>
            <w:r w:rsidRPr="00C00EDE">
              <w:rPr>
                <w:i w:val="0"/>
                <w:iCs w:val="0"/>
              </w:rPr>
              <w:t>F</w:t>
            </w:r>
          </w:p>
        </w:tc>
        <w:tc>
          <w:tcPr>
            <w:tcW w:w="6480" w:type="dxa"/>
          </w:tcPr>
          <w:p w14:paraId="3B2D76C2" w14:textId="48B269DB" w:rsidR="00A71BC6" w:rsidRPr="00EF5A79" w:rsidRDefault="00A71BC6" w:rsidP="00A71BC6">
            <w:pPr>
              <w:pStyle w:val="Content"/>
              <w:rPr>
                <w:bCs/>
              </w:rPr>
            </w:pPr>
          </w:p>
        </w:tc>
      </w:tr>
      <w:tr w:rsidR="00A71BC6" w14:paraId="436EB810" w14:textId="77777777" w:rsidTr="008C0B34">
        <w:tc>
          <w:tcPr>
            <w:tcW w:w="3685" w:type="dxa"/>
          </w:tcPr>
          <w:p w14:paraId="14A752E8" w14:textId="77777777" w:rsidR="00A71BC6" w:rsidRDefault="00A71BC6" w:rsidP="00A71BC6">
            <w:pPr>
              <w:pStyle w:val="Content"/>
            </w:pPr>
            <w:r w:rsidRPr="00AF403C">
              <w:t>Flame Ionization Detector (FID)</w:t>
            </w:r>
          </w:p>
          <w:p w14:paraId="28C6C178" w14:textId="471BE830" w:rsidR="00EC0787" w:rsidRDefault="00EC0787" w:rsidP="00E214A3">
            <w:pPr>
              <w:pStyle w:val="Content"/>
            </w:pPr>
          </w:p>
        </w:tc>
        <w:tc>
          <w:tcPr>
            <w:tcW w:w="6480" w:type="dxa"/>
          </w:tcPr>
          <w:p w14:paraId="1AB2C6BC" w14:textId="40C6CF11" w:rsidR="00A71BC6" w:rsidRDefault="00A71BC6" w:rsidP="00A71BC6">
            <w:pPr>
              <w:pStyle w:val="Content"/>
            </w:pPr>
            <w:r>
              <w:t>M</w:t>
            </w:r>
            <w:r w:rsidRPr="002377AE">
              <w:t>easures the current induced by ions attracted to and hitting a collector plate. The ions are formed by the combustion of organic compounds in a sample gas.</w:t>
            </w:r>
            <w:r>
              <w:t xml:space="preserve"> </w:t>
            </w:r>
            <w:r w:rsidRPr="00FA4D5D">
              <w:t>A gas sample is extracted from the source through a heated sample line and heated filter to an FID.</w:t>
            </w:r>
            <w:r>
              <w:t xml:space="preserve"> </w:t>
            </w:r>
            <w:r w:rsidRPr="00D527B5">
              <w:t>The FID measures the current, which is directly proportional to the concentration of volatile organic compounds in the sample.</w:t>
            </w:r>
            <w:r>
              <w:t xml:space="preserve"> </w:t>
            </w:r>
            <w:r w:rsidRPr="00D527B5">
              <w:t xml:space="preserve">Results are reported as volume concentration equivalents of </w:t>
            </w:r>
            <w:r w:rsidR="6005E6F5">
              <w:t xml:space="preserve">the calibration gas (usually methane or </w:t>
            </w:r>
            <w:r w:rsidRPr="00D527B5">
              <w:t>propane</w:t>
            </w:r>
            <w:r w:rsidR="1FCA8B44">
              <w:t>)</w:t>
            </w:r>
            <w:r>
              <w:t>.</w:t>
            </w:r>
          </w:p>
          <w:p w14:paraId="6BF8D0CA" w14:textId="2D4A6934" w:rsidR="005E3525" w:rsidRPr="00A74BF6" w:rsidRDefault="005E3525" w:rsidP="00A71BC6">
            <w:pPr>
              <w:pStyle w:val="Content"/>
              <w:rPr>
                <w:bCs/>
              </w:rPr>
            </w:pPr>
          </w:p>
        </w:tc>
      </w:tr>
      <w:tr w:rsidR="00A71BC6" w14:paraId="1104A3F4" w14:textId="77777777" w:rsidTr="008C0B34">
        <w:tc>
          <w:tcPr>
            <w:tcW w:w="3685" w:type="dxa"/>
          </w:tcPr>
          <w:p w14:paraId="0490467C" w14:textId="77777777" w:rsidR="00A71BC6" w:rsidRDefault="00A71BC6" w:rsidP="00A71BC6">
            <w:pPr>
              <w:pStyle w:val="Content"/>
            </w:pPr>
            <w:r w:rsidRPr="00AF403C">
              <w:t>Fourier Transform Infrared Spectroscopy (FTIR)</w:t>
            </w:r>
          </w:p>
          <w:p w14:paraId="18FBC001" w14:textId="701C30FD" w:rsidR="00976020" w:rsidRDefault="00976020" w:rsidP="00E214A3">
            <w:pPr>
              <w:pStyle w:val="Content"/>
            </w:pPr>
          </w:p>
        </w:tc>
        <w:tc>
          <w:tcPr>
            <w:tcW w:w="6480" w:type="dxa"/>
          </w:tcPr>
          <w:p w14:paraId="0D0196D8" w14:textId="1109BCE6" w:rsidR="00A71BC6" w:rsidRPr="00A74BF6" w:rsidRDefault="00A71BC6" w:rsidP="00A71BC6">
            <w:pPr>
              <w:pStyle w:val="Content"/>
              <w:rPr>
                <w:bCs/>
              </w:rPr>
            </w:pPr>
            <w:r>
              <w:t>A</w:t>
            </w:r>
            <w:r w:rsidRPr="00E3151C">
              <w:t>n analytical technique used to obtain an infrared spectrum of absorption or emission of a gas.</w:t>
            </w:r>
            <w:r>
              <w:t xml:space="preserve"> </w:t>
            </w:r>
            <w:r w:rsidRPr="007F15C6">
              <w:t>An FTIR spectrometer simultaneously collects high-spectral-resolution data over a wide spectral range.  A Fourier Transform (a mathematical process) is required to convert the raw data into the actual spectrum which is compared to a library of spectra to find a match.</w:t>
            </w:r>
          </w:p>
        </w:tc>
      </w:tr>
      <w:tr w:rsidR="00A71BC6" w14:paraId="304F2091" w14:textId="77777777" w:rsidTr="008C0B34">
        <w:tc>
          <w:tcPr>
            <w:tcW w:w="3685" w:type="dxa"/>
          </w:tcPr>
          <w:p w14:paraId="504956DF" w14:textId="3DA08D49" w:rsidR="00A71BC6" w:rsidRDefault="00A71BC6" w:rsidP="00A71BC6">
            <w:pPr>
              <w:pStyle w:val="Heading4"/>
            </w:pPr>
            <w:r w:rsidRPr="000D1C03">
              <w:rPr>
                <w:i w:val="0"/>
                <w:iCs w:val="0"/>
              </w:rPr>
              <w:t>G</w:t>
            </w:r>
          </w:p>
        </w:tc>
        <w:tc>
          <w:tcPr>
            <w:tcW w:w="6480" w:type="dxa"/>
          </w:tcPr>
          <w:p w14:paraId="28967D3C" w14:textId="77777777" w:rsidR="00A71BC6" w:rsidRPr="00A74BF6" w:rsidRDefault="00A71BC6" w:rsidP="00A71BC6">
            <w:pPr>
              <w:pStyle w:val="Content"/>
              <w:rPr>
                <w:bCs/>
              </w:rPr>
            </w:pPr>
          </w:p>
        </w:tc>
      </w:tr>
      <w:tr w:rsidR="00BB209A" w14:paraId="728C423A" w14:textId="77777777" w:rsidTr="008C0B34">
        <w:tc>
          <w:tcPr>
            <w:tcW w:w="3685" w:type="dxa"/>
          </w:tcPr>
          <w:p w14:paraId="23DDEB9B" w14:textId="77777777" w:rsidR="00BB209A" w:rsidRDefault="00BB209A" w:rsidP="00BB209A">
            <w:pPr>
              <w:pStyle w:val="Content"/>
            </w:pPr>
            <w:r w:rsidRPr="00AF403C">
              <w:t>Gas Chromatograph (GC)</w:t>
            </w:r>
          </w:p>
          <w:p w14:paraId="3FD13F5A" w14:textId="333F70FA" w:rsidR="00976020" w:rsidRDefault="00976020" w:rsidP="00E214A3">
            <w:pPr>
              <w:pStyle w:val="Content"/>
            </w:pPr>
          </w:p>
        </w:tc>
        <w:tc>
          <w:tcPr>
            <w:tcW w:w="6480" w:type="dxa"/>
          </w:tcPr>
          <w:p w14:paraId="39A87412" w14:textId="77777777" w:rsidR="00BB209A" w:rsidRDefault="00BB209A" w:rsidP="00BB209A">
            <w:pPr>
              <w:pStyle w:val="Content"/>
            </w:pPr>
            <w:r>
              <w:t>U</w:t>
            </w:r>
            <w:r w:rsidRPr="00BA35BF">
              <w:t xml:space="preserve">ses an inert carrier gas to transport the sample through a capillary column and separates the chemical constituents in the sample by their relative affinity for the column material.  </w:t>
            </w:r>
            <w:r w:rsidRPr="00775A6E">
              <w:t xml:space="preserve">The constituents come off, or elute, from the column at different retention times, based on their specific chemical properties, and are measured by the chosen detector type, usually a Flame </w:t>
            </w:r>
            <w:r w:rsidRPr="00775A6E">
              <w:lastRenderedPageBreak/>
              <w:t>Photometric Detector (FPD) or Thermal-conductivity Detector (TCD) for H2S measurement.</w:t>
            </w:r>
          </w:p>
          <w:p w14:paraId="59782E12" w14:textId="577EE1C7" w:rsidR="005E3525" w:rsidRDefault="005E3525" w:rsidP="00BB209A">
            <w:pPr>
              <w:pStyle w:val="Content"/>
            </w:pPr>
          </w:p>
        </w:tc>
      </w:tr>
      <w:tr w:rsidR="00BB209A" w14:paraId="71F1B416" w14:textId="77777777" w:rsidTr="008C0B34">
        <w:tc>
          <w:tcPr>
            <w:tcW w:w="3685" w:type="dxa"/>
          </w:tcPr>
          <w:p w14:paraId="6793B251" w14:textId="77777777" w:rsidR="00BB209A" w:rsidRDefault="00BB209A" w:rsidP="00BB209A">
            <w:pPr>
              <w:pStyle w:val="Content"/>
            </w:pPr>
            <w:r w:rsidRPr="00AF403C">
              <w:lastRenderedPageBreak/>
              <w:t>Gas Filter Correlation (GFC)</w:t>
            </w:r>
            <w:r>
              <w:t xml:space="preserve"> </w:t>
            </w:r>
          </w:p>
          <w:p w14:paraId="58BDB89F" w14:textId="4CAB6D7A" w:rsidR="00976020" w:rsidRDefault="00976020" w:rsidP="00E214A3">
            <w:pPr>
              <w:pStyle w:val="Content"/>
            </w:pPr>
          </w:p>
        </w:tc>
        <w:tc>
          <w:tcPr>
            <w:tcW w:w="6480" w:type="dxa"/>
          </w:tcPr>
          <w:p w14:paraId="6F33969A" w14:textId="77777777" w:rsidR="00BB209A" w:rsidRDefault="00BB209A" w:rsidP="00BB209A">
            <w:pPr>
              <w:pStyle w:val="Content"/>
            </w:pPr>
            <w:r>
              <w:t xml:space="preserve">A </w:t>
            </w:r>
            <w:r w:rsidRPr="00C415B3">
              <w:t xml:space="preserve">method is </w:t>
            </w:r>
            <w:proofErr w:type="gramStart"/>
            <w:r w:rsidRPr="00C415B3">
              <w:t>similar to</w:t>
            </w:r>
            <w:proofErr w:type="gramEnd"/>
            <w:r w:rsidRPr="00C415B3">
              <w:t xml:space="preserve"> NDIR, but instead of two parallel cells it uses a rotating filter wheel with a section of the wheel containing a sample of the gas being measured. </w:t>
            </w:r>
            <w:r w:rsidRPr="00B749D3">
              <w:t>The IR light passing through this gas is already absorbed before reaching the sample gas cell. </w:t>
            </w:r>
            <w:r w:rsidRPr="00B05C1C">
              <w:t>The IR beam passes through the rotating wheel including the section with the gas, causing an alternating IR spectrum which then passes through the sample gas cell and is read by the detector. </w:t>
            </w:r>
          </w:p>
          <w:p w14:paraId="0160999C" w14:textId="0E79BC25" w:rsidR="005E3525" w:rsidRPr="00A74BF6" w:rsidRDefault="005E3525" w:rsidP="00BB209A">
            <w:pPr>
              <w:pStyle w:val="Content"/>
              <w:rPr>
                <w:bCs/>
              </w:rPr>
            </w:pPr>
          </w:p>
        </w:tc>
      </w:tr>
      <w:tr w:rsidR="00BB209A" w14:paraId="473D295C" w14:textId="77777777" w:rsidTr="008C0B34">
        <w:tc>
          <w:tcPr>
            <w:tcW w:w="3685" w:type="dxa"/>
          </w:tcPr>
          <w:p w14:paraId="7E4D7F13" w14:textId="77777777" w:rsidR="00BB209A" w:rsidRDefault="00BB209A" w:rsidP="00BB209A">
            <w:pPr>
              <w:pStyle w:val="Content"/>
            </w:pPr>
            <w:r w:rsidRPr="00AF403C">
              <w:t>Gas Velocity</w:t>
            </w:r>
          </w:p>
          <w:p w14:paraId="06E7A76C" w14:textId="4A94F384" w:rsidR="00976020" w:rsidRDefault="00976020" w:rsidP="001965B7">
            <w:pPr>
              <w:pStyle w:val="Content"/>
            </w:pPr>
          </w:p>
        </w:tc>
        <w:tc>
          <w:tcPr>
            <w:tcW w:w="6480" w:type="dxa"/>
          </w:tcPr>
          <w:p w14:paraId="000E7F7A" w14:textId="50BB1CE0" w:rsidR="00BB209A" w:rsidRDefault="00BB209A" w:rsidP="00BB209A">
            <w:pPr>
              <w:pStyle w:val="Content"/>
            </w:pPr>
            <w:r>
              <w:t>T</w:t>
            </w:r>
            <w:r w:rsidRPr="00142EEB">
              <w:t>he average velocity of the exhaust flowrate at the measurement location.</w:t>
            </w:r>
          </w:p>
        </w:tc>
      </w:tr>
      <w:tr w:rsidR="00BB209A" w14:paraId="09ED6366" w14:textId="77777777" w:rsidTr="008C0B34">
        <w:tc>
          <w:tcPr>
            <w:tcW w:w="3685" w:type="dxa"/>
          </w:tcPr>
          <w:p w14:paraId="3F48B523" w14:textId="21A447B0" w:rsidR="00BB209A" w:rsidRDefault="00BB209A" w:rsidP="00BB209A">
            <w:pPr>
              <w:pStyle w:val="Heading4"/>
            </w:pPr>
            <w:r>
              <w:rPr>
                <w:i w:val="0"/>
                <w:iCs w:val="0"/>
              </w:rPr>
              <w:t>H</w:t>
            </w:r>
          </w:p>
        </w:tc>
        <w:tc>
          <w:tcPr>
            <w:tcW w:w="6480" w:type="dxa"/>
          </w:tcPr>
          <w:p w14:paraId="6359DFD9" w14:textId="77777777" w:rsidR="00BB209A" w:rsidRPr="00A74BF6" w:rsidRDefault="00BB209A" w:rsidP="00BB209A">
            <w:pPr>
              <w:pStyle w:val="Content"/>
              <w:rPr>
                <w:bCs/>
              </w:rPr>
            </w:pPr>
          </w:p>
        </w:tc>
      </w:tr>
      <w:tr w:rsidR="00BB209A" w14:paraId="2BB8622A" w14:textId="77777777" w:rsidTr="008C0B34">
        <w:tc>
          <w:tcPr>
            <w:tcW w:w="3685" w:type="dxa"/>
          </w:tcPr>
          <w:p w14:paraId="5AC6A645" w14:textId="365EFC03" w:rsidR="00BB209A" w:rsidRDefault="00BB209A" w:rsidP="00BB209A">
            <w:pPr>
              <w:pStyle w:val="Heading4"/>
            </w:pPr>
            <w:r>
              <w:t>I</w:t>
            </w:r>
          </w:p>
        </w:tc>
        <w:tc>
          <w:tcPr>
            <w:tcW w:w="6480" w:type="dxa"/>
          </w:tcPr>
          <w:p w14:paraId="11E57B50" w14:textId="77777777" w:rsidR="00BB209A" w:rsidRPr="00A74BF6" w:rsidRDefault="00BB209A" w:rsidP="00BB209A">
            <w:pPr>
              <w:pStyle w:val="Content"/>
              <w:rPr>
                <w:bCs/>
              </w:rPr>
            </w:pPr>
          </w:p>
        </w:tc>
      </w:tr>
      <w:tr w:rsidR="00BB209A" w14:paraId="5D7516F0" w14:textId="77777777" w:rsidTr="008C0B34">
        <w:tc>
          <w:tcPr>
            <w:tcW w:w="3685" w:type="dxa"/>
          </w:tcPr>
          <w:p w14:paraId="08997559" w14:textId="77777777" w:rsidR="00BB209A" w:rsidRPr="00AF403C" w:rsidRDefault="00BB209A" w:rsidP="00BB209A">
            <w:pPr>
              <w:pStyle w:val="Content"/>
            </w:pPr>
            <w:r w:rsidRPr="00AF403C">
              <w:t>In-situ System</w:t>
            </w:r>
          </w:p>
          <w:p w14:paraId="6F1E616E" w14:textId="6A5CE3BB" w:rsidR="00976020" w:rsidRDefault="00976020" w:rsidP="00E214A3">
            <w:pPr>
              <w:pStyle w:val="Content"/>
            </w:pPr>
          </w:p>
        </w:tc>
        <w:tc>
          <w:tcPr>
            <w:tcW w:w="6480" w:type="dxa"/>
          </w:tcPr>
          <w:p w14:paraId="7B8CA3CE" w14:textId="2DF4BC1B" w:rsidR="00BB209A" w:rsidRPr="00A74BF6" w:rsidRDefault="00BB209A" w:rsidP="00BB209A">
            <w:pPr>
              <w:pStyle w:val="Content"/>
              <w:rPr>
                <w:bCs/>
              </w:rPr>
            </w:pPr>
            <w:r>
              <w:t xml:space="preserve">A CEMS where you </w:t>
            </w:r>
            <w:r w:rsidRPr="00167D5B">
              <w:rPr>
                <w:bCs/>
              </w:rPr>
              <w:t>have at least some part of their analysis subsystem mounted in the stack in direct contact with the flue gas.</w:t>
            </w:r>
          </w:p>
        </w:tc>
      </w:tr>
      <w:tr w:rsidR="00BB209A" w14:paraId="09ECE9C9" w14:textId="77777777" w:rsidTr="008C0B34">
        <w:tc>
          <w:tcPr>
            <w:tcW w:w="3685" w:type="dxa"/>
          </w:tcPr>
          <w:p w14:paraId="6B5693D6" w14:textId="74F6C718" w:rsidR="00BB209A" w:rsidRDefault="00BB209A" w:rsidP="00BB209A">
            <w:pPr>
              <w:pStyle w:val="Heading4"/>
            </w:pPr>
            <w:r>
              <w:t>J</w:t>
            </w:r>
          </w:p>
        </w:tc>
        <w:tc>
          <w:tcPr>
            <w:tcW w:w="6480" w:type="dxa"/>
          </w:tcPr>
          <w:p w14:paraId="73727B31" w14:textId="77777777" w:rsidR="00BB209A" w:rsidRPr="00A74BF6" w:rsidRDefault="00BB209A" w:rsidP="00BB209A">
            <w:pPr>
              <w:pStyle w:val="Content"/>
              <w:rPr>
                <w:bCs/>
              </w:rPr>
            </w:pPr>
          </w:p>
        </w:tc>
      </w:tr>
      <w:tr w:rsidR="00BB209A" w14:paraId="6AD495BE" w14:textId="77777777" w:rsidTr="008C0B34">
        <w:tc>
          <w:tcPr>
            <w:tcW w:w="3685" w:type="dxa"/>
          </w:tcPr>
          <w:p w14:paraId="3C657262" w14:textId="3A40D2EA" w:rsidR="00BB209A" w:rsidRDefault="00BB209A" w:rsidP="00BB209A">
            <w:pPr>
              <w:pStyle w:val="Heading4"/>
            </w:pPr>
            <w:r>
              <w:t>K</w:t>
            </w:r>
          </w:p>
        </w:tc>
        <w:tc>
          <w:tcPr>
            <w:tcW w:w="6480" w:type="dxa"/>
          </w:tcPr>
          <w:p w14:paraId="1AE1FDDC" w14:textId="77777777" w:rsidR="00BB209A" w:rsidRPr="00A74BF6" w:rsidRDefault="00BB209A" w:rsidP="00BB209A">
            <w:pPr>
              <w:pStyle w:val="Content"/>
              <w:rPr>
                <w:bCs/>
              </w:rPr>
            </w:pPr>
          </w:p>
        </w:tc>
      </w:tr>
      <w:tr w:rsidR="00BB209A" w14:paraId="42DA684C" w14:textId="77777777" w:rsidTr="008C0B34">
        <w:tc>
          <w:tcPr>
            <w:tcW w:w="3685" w:type="dxa"/>
          </w:tcPr>
          <w:p w14:paraId="6C676B8A" w14:textId="63E823C3" w:rsidR="00BB209A" w:rsidRDefault="00BB209A" w:rsidP="00BB209A">
            <w:pPr>
              <w:pStyle w:val="Heading4"/>
            </w:pPr>
            <w:r>
              <w:t>L</w:t>
            </w:r>
          </w:p>
        </w:tc>
        <w:tc>
          <w:tcPr>
            <w:tcW w:w="6480" w:type="dxa"/>
          </w:tcPr>
          <w:p w14:paraId="569590A2" w14:textId="77777777" w:rsidR="00BB209A" w:rsidRPr="00A74BF6" w:rsidRDefault="00BB209A" w:rsidP="00BB209A">
            <w:pPr>
              <w:pStyle w:val="Content"/>
              <w:rPr>
                <w:bCs/>
              </w:rPr>
            </w:pPr>
          </w:p>
        </w:tc>
      </w:tr>
      <w:tr w:rsidR="00BB209A" w14:paraId="01E91060" w14:textId="77777777" w:rsidTr="008C0B34">
        <w:tc>
          <w:tcPr>
            <w:tcW w:w="3685" w:type="dxa"/>
          </w:tcPr>
          <w:p w14:paraId="5BC87032" w14:textId="77777777" w:rsidR="00BB209A" w:rsidRPr="00AF403C" w:rsidRDefault="00BB209A" w:rsidP="00BB209A">
            <w:pPr>
              <w:pStyle w:val="Content"/>
            </w:pPr>
            <w:r w:rsidRPr="00AF403C">
              <w:t>Light Scattering Particulate Matter (PM) Continuous Emission Monitoring Systems (CEMS)</w:t>
            </w:r>
          </w:p>
          <w:p w14:paraId="2FFB3F2D" w14:textId="273C9FBA" w:rsidR="00976020" w:rsidRDefault="00976020" w:rsidP="00E214A3">
            <w:pPr>
              <w:pStyle w:val="Content"/>
            </w:pPr>
          </w:p>
        </w:tc>
        <w:tc>
          <w:tcPr>
            <w:tcW w:w="6480" w:type="dxa"/>
          </w:tcPr>
          <w:p w14:paraId="54B369A7" w14:textId="408A749B" w:rsidR="00BB209A" w:rsidRPr="00A74BF6" w:rsidRDefault="00BB209A" w:rsidP="00BB209A">
            <w:pPr>
              <w:pStyle w:val="Content"/>
              <w:rPr>
                <w:bCs/>
              </w:rPr>
            </w:pPr>
            <w:r w:rsidRPr="006E7823">
              <w:t>A Light Scattering PM CEMS measures the light scattered by the entrained particulate in the stack exhaust, the amount of scattering being proportional to the particulate concentration, and affected by particle size, shape and color.</w:t>
            </w:r>
          </w:p>
        </w:tc>
      </w:tr>
      <w:tr w:rsidR="00BB209A" w14:paraId="403E8008" w14:textId="77777777" w:rsidTr="008C0B34">
        <w:tc>
          <w:tcPr>
            <w:tcW w:w="3685" w:type="dxa"/>
          </w:tcPr>
          <w:p w14:paraId="0812E4CA" w14:textId="5BB0D7FD" w:rsidR="00BB209A" w:rsidRDefault="00BB209A" w:rsidP="00BB209A">
            <w:pPr>
              <w:pStyle w:val="Heading4"/>
            </w:pPr>
            <w:r>
              <w:t>M</w:t>
            </w:r>
          </w:p>
        </w:tc>
        <w:tc>
          <w:tcPr>
            <w:tcW w:w="6480" w:type="dxa"/>
          </w:tcPr>
          <w:p w14:paraId="57DFD014" w14:textId="77777777" w:rsidR="00BB209A" w:rsidRPr="00A74BF6" w:rsidRDefault="00BB209A" w:rsidP="00BB209A">
            <w:pPr>
              <w:pStyle w:val="Content"/>
              <w:rPr>
                <w:bCs/>
              </w:rPr>
            </w:pPr>
          </w:p>
        </w:tc>
      </w:tr>
      <w:tr w:rsidR="00BB209A" w14:paraId="2CDB9577" w14:textId="77777777" w:rsidTr="008C0B34">
        <w:tc>
          <w:tcPr>
            <w:tcW w:w="3685" w:type="dxa"/>
          </w:tcPr>
          <w:p w14:paraId="2377EABF" w14:textId="77777777" w:rsidR="00BB209A" w:rsidRDefault="00BB209A" w:rsidP="00BB209A">
            <w:pPr>
              <w:pStyle w:val="Content"/>
            </w:pPr>
            <w:r w:rsidRPr="00AF403C">
              <w:t>Measurement Range</w:t>
            </w:r>
          </w:p>
          <w:p w14:paraId="7FDB93B8" w14:textId="0ECB2C87" w:rsidR="00976020" w:rsidRDefault="00976020" w:rsidP="00E214A3">
            <w:pPr>
              <w:pStyle w:val="Content"/>
            </w:pPr>
          </w:p>
        </w:tc>
        <w:tc>
          <w:tcPr>
            <w:tcW w:w="6480" w:type="dxa"/>
          </w:tcPr>
          <w:p w14:paraId="25BF097C" w14:textId="37CD73A9" w:rsidR="00BB209A" w:rsidRPr="00A74BF6" w:rsidRDefault="00BB209A" w:rsidP="00BB209A">
            <w:pPr>
              <w:pStyle w:val="Content"/>
              <w:rPr>
                <w:bCs/>
              </w:rPr>
            </w:pPr>
            <w:r w:rsidRPr="002E1137">
              <w:t>The full range of values that an analyzer is capable of measuring.</w:t>
            </w:r>
          </w:p>
        </w:tc>
      </w:tr>
      <w:tr w:rsidR="00BB209A" w14:paraId="3071E945" w14:textId="77777777" w:rsidTr="008C0B34">
        <w:tc>
          <w:tcPr>
            <w:tcW w:w="3685" w:type="dxa"/>
          </w:tcPr>
          <w:p w14:paraId="2BB392CA" w14:textId="2A5AF12F" w:rsidR="00BB209A" w:rsidRDefault="00BB209A" w:rsidP="00BB209A">
            <w:pPr>
              <w:pStyle w:val="Heading4"/>
            </w:pPr>
            <w:r>
              <w:t>N</w:t>
            </w:r>
          </w:p>
        </w:tc>
        <w:tc>
          <w:tcPr>
            <w:tcW w:w="6480" w:type="dxa"/>
          </w:tcPr>
          <w:p w14:paraId="231324A7" w14:textId="77777777" w:rsidR="00BB209A" w:rsidRPr="00A74BF6" w:rsidRDefault="00BB209A" w:rsidP="00BB209A">
            <w:pPr>
              <w:pStyle w:val="Content"/>
              <w:rPr>
                <w:bCs/>
              </w:rPr>
            </w:pPr>
          </w:p>
        </w:tc>
      </w:tr>
      <w:tr w:rsidR="00BB209A" w14:paraId="33A6E1C1" w14:textId="77777777" w:rsidTr="008C0B34">
        <w:tc>
          <w:tcPr>
            <w:tcW w:w="3685" w:type="dxa"/>
          </w:tcPr>
          <w:p w14:paraId="483286DA" w14:textId="77777777" w:rsidR="00BB209A" w:rsidRPr="00AF403C" w:rsidRDefault="00BB209A" w:rsidP="00BB209A">
            <w:pPr>
              <w:pStyle w:val="Content"/>
            </w:pPr>
            <w:r w:rsidRPr="00AF403C">
              <w:t>Non-Dispersive Infrared (NDIR)</w:t>
            </w:r>
          </w:p>
          <w:p w14:paraId="50756907" w14:textId="7398CE62" w:rsidR="00976020" w:rsidRPr="00AF403C" w:rsidRDefault="00976020" w:rsidP="00E214A3">
            <w:pPr>
              <w:pStyle w:val="Content"/>
            </w:pPr>
          </w:p>
        </w:tc>
        <w:tc>
          <w:tcPr>
            <w:tcW w:w="6480" w:type="dxa"/>
          </w:tcPr>
          <w:p w14:paraId="434B1D11" w14:textId="497FBAE5" w:rsidR="00BB209A" w:rsidRPr="00A74BF6" w:rsidRDefault="00BB209A" w:rsidP="00BB209A">
            <w:pPr>
              <w:pStyle w:val="Content"/>
              <w:rPr>
                <w:bCs/>
              </w:rPr>
            </w:pPr>
            <w:r>
              <w:t>A</w:t>
            </w:r>
            <w:r w:rsidRPr="00C20D8D">
              <w:t xml:space="preserve"> type of infrared (IR) absorption spectroscopy using parallel sample and reference (non-absorbing) cells</w:t>
            </w:r>
            <w:r>
              <w:t xml:space="preserve">. It is one of the most commonly used IR methods. </w:t>
            </w:r>
            <w:r w:rsidR="260AEF3E">
              <w:t>For the measurement of CO</w:t>
            </w:r>
            <w:r w:rsidR="260AEF3E" w:rsidRPr="00857B5B">
              <w:rPr>
                <w:vertAlign w:val="subscript"/>
              </w:rPr>
              <w:t>2</w:t>
            </w:r>
            <w:r w:rsidR="260AEF3E">
              <w:t xml:space="preserve"> concentration, t</w:t>
            </w:r>
            <w:r w:rsidRPr="008A40ED">
              <w:t>he IR light is filtered for a specific wavelength absorbed by CO</w:t>
            </w:r>
            <w:r w:rsidRPr="00857B5B">
              <w:rPr>
                <w:vertAlign w:val="subscript"/>
              </w:rPr>
              <w:t>2</w:t>
            </w:r>
            <w:r w:rsidRPr="008A40ED">
              <w:t xml:space="preserve">, and the difference in intensity of the specific </w:t>
            </w:r>
            <w:r w:rsidRPr="008A40ED">
              <w:lastRenderedPageBreak/>
              <w:t>IR wavelength between the two cells is proportional to the CO</w:t>
            </w:r>
            <w:r w:rsidRPr="00857B5B">
              <w:rPr>
                <w:vertAlign w:val="subscript"/>
              </w:rPr>
              <w:t>2</w:t>
            </w:r>
            <w:r w:rsidRPr="008A40ED">
              <w:t xml:space="preserve"> concentration in the sample gas.</w:t>
            </w:r>
          </w:p>
        </w:tc>
      </w:tr>
      <w:tr w:rsidR="00BB209A" w14:paraId="4A5B5CAC" w14:textId="77777777" w:rsidTr="008C0B34">
        <w:tc>
          <w:tcPr>
            <w:tcW w:w="3685" w:type="dxa"/>
          </w:tcPr>
          <w:p w14:paraId="0BD4ED1D" w14:textId="7DE35D9B" w:rsidR="00BB209A" w:rsidRPr="00AF403C" w:rsidRDefault="00BB209A" w:rsidP="00BB209A">
            <w:pPr>
              <w:pStyle w:val="Heading4"/>
            </w:pPr>
            <w:r w:rsidRPr="00AF403C">
              <w:lastRenderedPageBreak/>
              <w:t>O</w:t>
            </w:r>
          </w:p>
        </w:tc>
        <w:tc>
          <w:tcPr>
            <w:tcW w:w="6480" w:type="dxa"/>
          </w:tcPr>
          <w:p w14:paraId="0299338D" w14:textId="77777777" w:rsidR="00BB209A" w:rsidRPr="00A74BF6" w:rsidRDefault="00BB209A" w:rsidP="00BB209A">
            <w:pPr>
              <w:pStyle w:val="Content"/>
              <w:rPr>
                <w:bCs/>
              </w:rPr>
            </w:pPr>
          </w:p>
        </w:tc>
      </w:tr>
      <w:tr w:rsidR="00BB209A" w14:paraId="0E87BEF0" w14:textId="77777777" w:rsidTr="008C0B34">
        <w:tc>
          <w:tcPr>
            <w:tcW w:w="3685" w:type="dxa"/>
          </w:tcPr>
          <w:p w14:paraId="0AA19CC7" w14:textId="77777777" w:rsidR="00BB209A" w:rsidRPr="00AF403C" w:rsidRDefault="00BB209A" w:rsidP="00BB209A">
            <w:pPr>
              <w:pStyle w:val="Content"/>
            </w:pPr>
            <w:r w:rsidRPr="00AF403C">
              <w:t>Opacity</w:t>
            </w:r>
          </w:p>
          <w:p w14:paraId="25258A54" w14:textId="3641853F" w:rsidR="00976020" w:rsidRPr="00AF403C" w:rsidRDefault="00976020" w:rsidP="00E214A3">
            <w:pPr>
              <w:pStyle w:val="Content"/>
            </w:pPr>
          </w:p>
        </w:tc>
        <w:tc>
          <w:tcPr>
            <w:tcW w:w="6480" w:type="dxa"/>
          </w:tcPr>
          <w:p w14:paraId="2219A57B" w14:textId="77777777" w:rsidR="00BB209A" w:rsidRDefault="00BB209A" w:rsidP="00BB209A">
            <w:pPr>
              <w:pStyle w:val="Content"/>
              <w:rPr>
                <w:bCs/>
              </w:rPr>
            </w:pPr>
            <w:r w:rsidRPr="00A74BF6">
              <w:rPr>
                <w:bCs/>
              </w:rPr>
              <w:t>The percentage of light that is attenuated by an optical medium</w:t>
            </w:r>
            <w:r>
              <w:rPr>
                <w:bCs/>
              </w:rPr>
              <w:t>.</w:t>
            </w:r>
            <w:r w:rsidRPr="00A74BF6">
              <w:rPr>
                <w:bCs/>
              </w:rPr>
              <w:t xml:space="preserve">  </w:t>
            </w:r>
          </w:p>
          <w:p w14:paraId="2C387FB3" w14:textId="292596DF" w:rsidR="005E3525" w:rsidRPr="00A74BF6" w:rsidRDefault="005E3525" w:rsidP="00BB209A">
            <w:pPr>
              <w:pStyle w:val="Content"/>
              <w:rPr>
                <w:bCs/>
              </w:rPr>
            </w:pPr>
          </w:p>
        </w:tc>
      </w:tr>
      <w:tr w:rsidR="00BB209A" w14:paraId="2B61D55F" w14:textId="77777777" w:rsidTr="008C0B34">
        <w:tc>
          <w:tcPr>
            <w:tcW w:w="3685" w:type="dxa"/>
          </w:tcPr>
          <w:p w14:paraId="2E7DE25E" w14:textId="77777777" w:rsidR="00BB209A" w:rsidRPr="00AF403C" w:rsidRDefault="00BB209A" w:rsidP="00BB209A">
            <w:pPr>
              <w:pStyle w:val="Content"/>
            </w:pPr>
            <w:r w:rsidRPr="00AF403C">
              <w:t>Optical Alignment</w:t>
            </w:r>
          </w:p>
          <w:p w14:paraId="2A1F8A2D" w14:textId="60BF85D3" w:rsidR="00976020" w:rsidRPr="00AF403C" w:rsidRDefault="00976020" w:rsidP="00E214A3">
            <w:pPr>
              <w:pStyle w:val="Content"/>
            </w:pPr>
          </w:p>
        </w:tc>
        <w:tc>
          <w:tcPr>
            <w:tcW w:w="6480" w:type="dxa"/>
          </w:tcPr>
          <w:p w14:paraId="67BD56E5" w14:textId="77777777" w:rsidR="00BB209A" w:rsidRDefault="00BB209A" w:rsidP="00BB209A">
            <w:pPr>
              <w:pStyle w:val="Content"/>
            </w:pPr>
            <w:r w:rsidRPr="0073501D">
              <w:t>Optical alignment is an indication of alignment that is objectively apparent relative to reference markers or conditions.</w:t>
            </w:r>
          </w:p>
          <w:p w14:paraId="1704BA0A" w14:textId="4CEE2990" w:rsidR="005E3525" w:rsidRPr="00DC68AC" w:rsidRDefault="005E3525" w:rsidP="00BB209A">
            <w:pPr>
              <w:pStyle w:val="Content"/>
            </w:pPr>
          </w:p>
        </w:tc>
      </w:tr>
      <w:tr w:rsidR="00BB209A" w14:paraId="4756B6A0" w14:textId="77777777" w:rsidTr="008C0B34">
        <w:tc>
          <w:tcPr>
            <w:tcW w:w="3685" w:type="dxa"/>
          </w:tcPr>
          <w:p w14:paraId="1E0AE299" w14:textId="77777777" w:rsidR="00BB209A" w:rsidRPr="00AF403C" w:rsidRDefault="00BB209A" w:rsidP="00BB209A">
            <w:pPr>
              <w:pStyle w:val="Content"/>
            </w:pPr>
            <w:r w:rsidRPr="00AF403C">
              <w:t>Out-of-Control (OOC)</w:t>
            </w:r>
          </w:p>
          <w:p w14:paraId="22D7F126" w14:textId="22A3C121" w:rsidR="00976020" w:rsidRPr="00AF403C" w:rsidRDefault="00976020" w:rsidP="00E214A3">
            <w:pPr>
              <w:pStyle w:val="Content"/>
            </w:pPr>
          </w:p>
        </w:tc>
        <w:tc>
          <w:tcPr>
            <w:tcW w:w="6480" w:type="dxa"/>
          </w:tcPr>
          <w:p w14:paraId="514B0DA1" w14:textId="1564AE09" w:rsidR="00BB209A" w:rsidRPr="00DC68AC" w:rsidRDefault="00BB209A" w:rsidP="00BB209A">
            <w:pPr>
              <w:pStyle w:val="Content"/>
            </w:pPr>
            <w:r w:rsidRPr="00A639AA">
              <w:t>An out-of-control (OOC) period occurs when a CEMS fails to meet the performance requirements. During an OOC period the data generated may not be used.</w:t>
            </w:r>
          </w:p>
        </w:tc>
      </w:tr>
      <w:tr w:rsidR="00BB209A" w14:paraId="710C1E99" w14:textId="77777777" w:rsidTr="008C0B34">
        <w:tc>
          <w:tcPr>
            <w:tcW w:w="3685" w:type="dxa"/>
          </w:tcPr>
          <w:p w14:paraId="2224C0DB" w14:textId="168AF2BB" w:rsidR="00BB209A" w:rsidRPr="00AF403C" w:rsidRDefault="00BB209A" w:rsidP="00BB209A">
            <w:pPr>
              <w:pStyle w:val="Heading4"/>
            </w:pPr>
            <w:r w:rsidRPr="00AF403C">
              <w:t>P</w:t>
            </w:r>
          </w:p>
        </w:tc>
        <w:tc>
          <w:tcPr>
            <w:tcW w:w="6480" w:type="dxa"/>
          </w:tcPr>
          <w:p w14:paraId="77076073" w14:textId="77777777" w:rsidR="00BB209A" w:rsidRPr="00A74BF6" w:rsidRDefault="00BB209A" w:rsidP="00BB209A">
            <w:pPr>
              <w:pStyle w:val="Content"/>
              <w:rPr>
                <w:bCs/>
              </w:rPr>
            </w:pPr>
          </w:p>
        </w:tc>
      </w:tr>
      <w:tr w:rsidR="00CC1C06" w14:paraId="16B8A209" w14:textId="77777777" w:rsidTr="008C0B34">
        <w:tc>
          <w:tcPr>
            <w:tcW w:w="3685" w:type="dxa"/>
          </w:tcPr>
          <w:p w14:paraId="421CA0FD" w14:textId="77777777" w:rsidR="00CC1C06" w:rsidRPr="00AF403C" w:rsidRDefault="00CC1C06" w:rsidP="00CC1C06">
            <w:pPr>
              <w:pStyle w:val="Content"/>
            </w:pPr>
            <w:r w:rsidRPr="00AF403C">
              <w:t>Paramagnetic O2 Analyzer</w:t>
            </w:r>
          </w:p>
          <w:p w14:paraId="2441471C" w14:textId="63EACF39" w:rsidR="00976020" w:rsidRPr="00AF403C" w:rsidRDefault="00976020" w:rsidP="00E214A3">
            <w:pPr>
              <w:pStyle w:val="Content"/>
            </w:pPr>
          </w:p>
        </w:tc>
        <w:tc>
          <w:tcPr>
            <w:tcW w:w="6480" w:type="dxa"/>
          </w:tcPr>
          <w:p w14:paraId="66B85007" w14:textId="77777777" w:rsidR="00CC1C06" w:rsidRDefault="00CC1C06" w:rsidP="00CC1C06">
            <w:pPr>
              <w:pStyle w:val="Content"/>
            </w:pPr>
            <w:r>
              <w:t xml:space="preserve">In this analyzer, </w:t>
            </w:r>
            <w:r w:rsidRPr="001A6DC2">
              <w:t>a sample gas containing oxygen is drawn into two parallel sample paths, one passing through a magnetic field and one not</w:t>
            </w:r>
            <w:r>
              <w:t xml:space="preserve">. </w:t>
            </w:r>
            <w:r w:rsidRPr="00A91B15">
              <w:t>The oxygen is attracted into the magnetic field path, with the rest of the sample being split between the two paths, and the difference between the two measured gas flow rates is proportional to the O</w:t>
            </w:r>
            <w:r w:rsidRPr="005933C4">
              <w:rPr>
                <w:vertAlign w:val="subscript"/>
              </w:rPr>
              <w:t>2</w:t>
            </w:r>
            <w:r w:rsidRPr="00A91B15">
              <w:t xml:space="preserve"> content of the sample. </w:t>
            </w:r>
          </w:p>
          <w:p w14:paraId="7751C327" w14:textId="65BB8A5F" w:rsidR="005E3525" w:rsidRPr="00E95980" w:rsidRDefault="005E3525" w:rsidP="00CC1C06">
            <w:pPr>
              <w:pStyle w:val="Content"/>
            </w:pPr>
          </w:p>
        </w:tc>
      </w:tr>
      <w:tr w:rsidR="00D224AB" w14:paraId="354542B1" w14:textId="77777777" w:rsidTr="008C0B34">
        <w:tc>
          <w:tcPr>
            <w:tcW w:w="3685" w:type="dxa"/>
          </w:tcPr>
          <w:p w14:paraId="6EC6A657" w14:textId="77777777" w:rsidR="00D224AB" w:rsidRDefault="00D224AB" w:rsidP="00D224AB">
            <w:pPr>
              <w:pStyle w:val="Content"/>
            </w:pPr>
            <w:r>
              <w:t>Performance Audit</w:t>
            </w:r>
          </w:p>
          <w:p w14:paraId="74C8C79A" w14:textId="7F0E9DBF" w:rsidR="00976020" w:rsidRDefault="00976020" w:rsidP="00E214A3">
            <w:pPr>
              <w:pStyle w:val="Content"/>
            </w:pPr>
          </w:p>
        </w:tc>
        <w:tc>
          <w:tcPr>
            <w:tcW w:w="6480" w:type="dxa"/>
          </w:tcPr>
          <w:p w14:paraId="6A23F2FC" w14:textId="77777777" w:rsidR="00D224AB" w:rsidRDefault="00D224AB" w:rsidP="00D224AB">
            <w:pPr>
              <w:pStyle w:val="Content"/>
            </w:pPr>
            <w:r>
              <w:t>A quantitative evaluation, which includes things such as a Cylinder Gas Audit (CGA), Relative Accuracy Test Audit (RATA), and Relative Accuracy Audit (RAA). Performance audit procedures are critical for verifying proper performance of the monitoring systems and identifying problems which may lead to inaccurate emissions accounting.</w:t>
            </w:r>
          </w:p>
          <w:p w14:paraId="559E4EE3" w14:textId="47E2FD80" w:rsidR="005E3525" w:rsidRDefault="005E3525" w:rsidP="00D224AB">
            <w:pPr>
              <w:pStyle w:val="Content"/>
            </w:pPr>
          </w:p>
        </w:tc>
      </w:tr>
      <w:tr w:rsidR="00CC1C06" w14:paraId="03A4C481" w14:textId="77777777" w:rsidTr="008C0B34">
        <w:tc>
          <w:tcPr>
            <w:tcW w:w="3685" w:type="dxa"/>
          </w:tcPr>
          <w:p w14:paraId="5DDC9A5D" w14:textId="77777777" w:rsidR="00CC1C06" w:rsidRPr="00AF403C" w:rsidRDefault="00CC1C06" w:rsidP="00CC1C06">
            <w:pPr>
              <w:pStyle w:val="Content"/>
            </w:pPr>
            <w:r w:rsidRPr="00AF403C">
              <w:t>Performance Specifications</w:t>
            </w:r>
            <w:r w:rsidR="00D224AB" w:rsidRPr="00AF403C">
              <w:t xml:space="preserve"> (PS)</w:t>
            </w:r>
          </w:p>
          <w:p w14:paraId="277FD76A" w14:textId="4F4EEFC3" w:rsidR="00A624A7" w:rsidRDefault="00A624A7" w:rsidP="00CC1C06">
            <w:pPr>
              <w:pStyle w:val="Content"/>
            </w:pPr>
          </w:p>
        </w:tc>
        <w:tc>
          <w:tcPr>
            <w:tcW w:w="6480" w:type="dxa"/>
          </w:tcPr>
          <w:p w14:paraId="72305EC6" w14:textId="77777777" w:rsidR="00CC1C06" w:rsidRDefault="00CC1C06" w:rsidP="00CC1C06">
            <w:pPr>
              <w:pStyle w:val="Content"/>
            </w:pPr>
            <w:r>
              <w:t>Performance specifications are used for evaluating the acceptability of the CEMS at the time of, or soon after installation, or whenever specified in the regulations.</w:t>
            </w:r>
          </w:p>
          <w:p w14:paraId="6E77C3F0" w14:textId="002DA570" w:rsidR="005E3525" w:rsidRPr="00A74BF6" w:rsidRDefault="005E3525" w:rsidP="00CC1C06">
            <w:pPr>
              <w:pStyle w:val="Content"/>
              <w:rPr>
                <w:bCs/>
              </w:rPr>
            </w:pPr>
          </w:p>
        </w:tc>
      </w:tr>
      <w:tr w:rsidR="00D224AB" w14:paraId="22FFC02D" w14:textId="77777777" w:rsidTr="008C0B34">
        <w:tc>
          <w:tcPr>
            <w:tcW w:w="3685" w:type="dxa"/>
          </w:tcPr>
          <w:p w14:paraId="2B75D819" w14:textId="05C89980" w:rsidR="00D224AB" w:rsidRPr="00AF403C" w:rsidRDefault="00D224AB" w:rsidP="00D224AB">
            <w:pPr>
              <w:pStyle w:val="Content"/>
            </w:pPr>
            <w:r w:rsidRPr="00AF403C">
              <w:t>Pi</w:t>
            </w:r>
            <w:r w:rsidR="00576B5C" w:rsidRPr="00AF403C">
              <w:t>t</w:t>
            </w:r>
            <w:r w:rsidRPr="00AF403C">
              <w:t>ot Tubes</w:t>
            </w:r>
          </w:p>
          <w:p w14:paraId="3C422B5C" w14:textId="3A3C0418" w:rsidR="00B73BFB" w:rsidRPr="00AF403C" w:rsidRDefault="00B73BFB" w:rsidP="00E214A3">
            <w:pPr>
              <w:pStyle w:val="Content"/>
            </w:pPr>
          </w:p>
        </w:tc>
        <w:tc>
          <w:tcPr>
            <w:tcW w:w="6480" w:type="dxa"/>
          </w:tcPr>
          <w:p w14:paraId="4DF8E83B" w14:textId="77777777" w:rsidR="00D224AB" w:rsidRDefault="00D224AB" w:rsidP="00D224AB">
            <w:pPr>
              <w:pStyle w:val="Content"/>
            </w:pPr>
            <w:r>
              <w:t>U</w:t>
            </w:r>
            <w:r w:rsidRPr="00EB3276">
              <w:t>se the differential pressure between the measurements of total pressure and the static pressure at a point in the stack to calculate the stack gas velocity and volumetric flowrate</w:t>
            </w:r>
            <w:r>
              <w:t>.</w:t>
            </w:r>
          </w:p>
          <w:p w14:paraId="518629D5" w14:textId="44B0CEC3" w:rsidR="005E3525" w:rsidRPr="0050445C" w:rsidRDefault="005E3525" w:rsidP="00D224AB">
            <w:pPr>
              <w:pStyle w:val="Content"/>
            </w:pPr>
          </w:p>
        </w:tc>
      </w:tr>
      <w:tr w:rsidR="00D224AB" w14:paraId="4C283E6F" w14:textId="77777777" w:rsidTr="008C0B34">
        <w:tc>
          <w:tcPr>
            <w:tcW w:w="3685" w:type="dxa"/>
          </w:tcPr>
          <w:p w14:paraId="716A214A" w14:textId="77777777" w:rsidR="00D224AB" w:rsidRPr="00AF403C" w:rsidRDefault="00D224AB" w:rsidP="00D224AB">
            <w:pPr>
              <w:pStyle w:val="Content"/>
            </w:pPr>
            <w:r w:rsidRPr="00AF403C">
              <w:lastRenderedPageBreak/>
              <w:t>Predictive Emission Monitoring Systems (PEMS)</w:t>
            </w:r>
          </w:p>
          <w:p w14:paraId="74A71A1A" w14:textId="2250D965" w:rsidR="00B73BFB" w:rsidRPr="00AF403C" w:rsidRDefault="00B73BFB" w:rsidP="00B73BFB">
            <w:pPr>
              <w:pStyle w:val="Content"/>
            </w:pPr>
          </w:p>
        </w:tc>
        <w:tc>
          <w:tcPr>
            <w:tcW w:w="6480" w:type="dxa"/>
          </w:tcPr>
          <w:p w14:paraId="4A7A4383" w14:textId="77777777" w:rsidR="00BE65E9" w:rsidRPr="00BE65E9" w:rsidRDefault="00BE65E9" w:rsidP="00BE65E9">
            <w:pPr>
              <w:pStyle w:val="Content"/>
            </w:pPr>
            <w:r w:rsidRPr="00BE65E9">
              <w:t xml:space="preserve">The total equipment necessary to predict an emission concentration or emission rate. </w:t>
            </w:r>
          </w:p>
          <w:p w14:paraId="49A14D88" w14:textId="1C38CEAB" w:rsidR="00D224AB" w:rsidRPr="0050445C" w:rsidRDefault="00D224AB" w:rsidP="00BE65E9">
            <w:pPr>
              <w:pStyle w:val="Content"/>
            </w:pPr>
          </w:p>
        </w:tc>
      </w:tr>
      <w:tr w:rsidR="00FC7670" w14:paraId="7FA6ABDC" w14:textId="77777777" w:rsidTr="008C0B34">
        <w:tc>
          <w:tcPr>
            <w:tcW w:w="3685" w:type="dxa"/>
          </w:tcPr>
          <w:p w14:paraId="4E1718F3" w14:textId="77777777" w:rsidR="00FC7670" w:rsidRDefault="00FC7670" w:rsidP="00FC7670">
            <w:pPr>
              <w:pStyle w:val="Content"/>
            </w:pPr>
            <w:r w:rsidRPr="00AF403C">
              <w:t>Pulsed Fluorescence</w:t>
            </w:r>
          </w:p>
          <w:p w14:paraId="14E8650F" w14:textId="371C2729" w:rsidR="00B73BFB" w:rsidRPr="0026714E" w:rsidRDefault="00B73BFB" w:rsidP="00E214A3">
            <w:pPr>
              <w:pStyle w:val="Content"/>
            </w:pPr>
          </w:p>
        </w:tc>
        <w:tc>
          <w:tcPr>
            <w:tcW w:w="6480" w:type="dxa"/>
          </w:tcPr>
          <w:p w14:paraId="3279A473" w14:textId="457A9E18" w:rsidR="00FC7670" w:rsidRPr="0050445C" w:rsidRDefault="00FC7670" w:rsidP="00FC7670">
            <w:pPr>
              <w:pStyle w:val="Content"/>
            </w:pPr>
            <w:r>
              <w:t>U</w:t>
            </w:r>
            <w:r w:rsidRPr="00966CB7">
              <w:t>ses the property of SO</w:t>
            </w:r>
            <w:r w:rsidRPr="00FB0AF5">
              <w:rPr>
                <w:vertAlign w:val="subscript"/>
              </w:rPr>
              <w:t>2</w:t>
            </w:r>
            <w:r w:rsidRPr="00966CB7">
              <w:t xml:space="preserve"> molecules to absorb ultraviolet (UV) light and become excited at one wavelength, then decay to a lower energy state emitting UV light at a different wavelength, the measured emitted light corresponding to the concentration of SO</w:t>
            </w:r>
            <w:r w:rsidRPr="00FB0AF5">
              <w:rPr>
                <w:vertAlign w:val="subscript"/>
              </w:rPr>
              <w:t>2</w:t>
            </w:r>
            <w:r w:rsidRPr="00966CB7">
              <w:t xml:space="preserve"> in the sample gas.</w:t>
            </w:r>
            <w:r>
              <w:t xml:space="preserve"> </w:t>
            </w:r>
            <w:r w:rsidRPr="00C729C3">
              <w:t>The pulsing of the UV source lamp allows the analyzer to use both the light and dark phases of the pulsed light to continuously detect and correct for electronic noise, and to measure lower pollutant concentrations. </w:t>
            </w:r>
          </w:p>
        </w:tc>
      </w:tr>
      <w:tr w:rsidR="00FC7670" w14:paraId="4112B99F" w14:textId="77777777" w:rsidTr="008C0B34">
        <w:tc>
          <w:tcPr>
            <w:tcW w:w="3685" w:type="dxa"/>
          </w:tcPr>
          <w:p w14:paraId="1A3330BD" w14:textId="571540D5" w:rsidR="00FC7670" w:rsidRDefault="00FC7670" w:rsidP="00FC7670">
            <w:pPr>
              <w:pStyle w:val="Heading4"/>
            </w:pPr>
            <w:r>
              <w:t>Q</w:t>
            </w:r>
          </w:p>
        </w:tc>
        <w:tc>
          <w:tcPr>
            <w:tcW w:w="6480" w:type="dxa"/>
          </w:tcPr>
          <w:p w14:paraId="38E194B5" w14:textId="77777777" w:rsidR="00FC7670" w:rsidRPr="00A74BF6" w:rsidRDefault="00FC7670" w:rsidP="00FC7670">
            <w:pPr>
              <w:pStyle w:val="Content"/>
              <w:rPr>
                <w:bCs/>
              </w:rPr>
            </w:pPr>
          </w:p>
        </w:tc>
      </w:tr>
      <w:tr w:rsidR="00FC7670" w14:paraId="2C79E351" w14:textId="77777777" w:rsidTr="008C0B34">
        <w:tc>
          <w:tcPr>
            <w:tcW w:w="3685" w:type="dxa"/>
          </w:tcPr>
          <w:p w14:paraId="4869BEDA" w14:textId="77777777" w:rsidR="00FC7670" w:rsidRPr="00AF403C" w:rsidRDefault="00FC7670" w:rsidP="00FC7670">
            <w:pPr>
              <w:pStyle w:val="Content"/>
            </w:pPr>
            <w:r w:rsidRPr="00AF403C">
              <w:t>Quality Assurance (QA)</w:t>
            </w:r>
          </w:p>
          <w:p w14:paraId="77178FD2" w14:textId="117B75FA" w:rsidR="00B73BFB" w:rsidRPr="00AF403C" w:rsidRDefault="00B73BFB" w:rsidP="00E214A3">
            <w:pPr>
              <w:pStyle w:val="Content"/>
            </w:pPr>
          </w:p>
        </w:tc>
        <w:tc>
          <w:tcPr>
            <w:tcW w:w="6480" w:type="dxa"/>
          </w:tcPr>
          <w:p w14:paraId="231EEFD6" w14:textId="77777777" w:rsidR="00FB0AF5" w:rsidRPr="00FB0AF5" w:rsidRDefault="00FB0AF5" w:rsidP="00FB0AF5">
            <w:pPr>
              <w:pStyle w:val="Content"/>
            </w:pPr>
            <w:r w:rsidRPr="00FB0AF5">
              <w:t>Quality assurance (QA) procedures are used to evaluate the effectiveness of QC and the quality of data produced by any CEMS that are used for determining compliance with the emission standards on a continuous basis as specified in the applicable regulation.</w:t>
            </w:r>
          </w:p>
          <w:p w14:paraId="5DF57442" w14:textId="7D3631BC" w:rsidR="00FC7670" w:rsidRPr="00A74BF6" w:rsidRDefault="00FC7670" w:rsidP="00FC7670">
            <w:pPr>
              <w:pStyle w:val="Content"/>
              <w:rPr>
                <w:bCs/>
              </w:rPr>
            </w:pPr>
          </w:p>
        </w:tc>
      </w:tr>
      <w:tr w:rsidR="00FC7670" w14:paraId="26D8F55D" w14:textId="77777777" w:rsidTr="008C0B34">
        <w:tc>
          <w:tcPr>
            <w:tcW w:w="3685" w:type="dxa"/>
          </w:tcPr>
          <w:p w14:paraId="34004F21" w14:textId="77777777" w:rsidR="00FC7670" w:rsidRPr="00AF403C" w:rsidRDefault="00FC7670" w:rsidP="00B73BFB">
            <w:pPr>
              <w:pStyle w:val="Content"/>
              <w:tabs>
                <w:tab w:val="left" w:pos="2400"/>
              </w:tabs>
            </w:pPr>
            <w:r w:rsidRPr="00AF403C">
              <w:t>Quality Control (QC)</w:t>
            </w:r>
            <w:r w:rsidR="00B73BFB" w:rsidRPr="00AF403C">
              <w:tab/>
            </w:r>
          </w:p>
          <w:p w14:paraId="1CB72CFF" w14:textId="6A82B901" w:rsidR="00B73BFB" w:rsidRPr="00AF403C" w:rsidRDefault="00B73BFB" w:rsidP="00E214A3">
            <w:pPr>
              <w:pStyle w:val="Content"/>
            </w:pPr>
          </w:p>
        </w:tc>
        <w:tc>
          <w:tcPr>
            <w:tcW w:w="6480" w:type="dxa"/>
          </w:tcPr>
          <w:p w14:paraId="3A45E7C3" w14:textId="6157578D" w:rsidR="00FC7670" w:rsidRPr="00A74BF6" w:rsidRDefault="00FC7670" w:rsidP="00FC7670">
            <w:pPr>
              <w:pStyle w:val="Content"/>
              <w:rPr>
                <w:bCs/>
              </w:rPr>
            </w:pPr>
            <w:r w:rsidRPr="00F14747">
              <w:t>Q</w:t>
            </w:r>
            <w:r>
              <w:t>uality control (QC)</w:t>
            </w:r>
            <w:r w:rsidRPr="00F14747">
              <w:t xml:space="preserve"> is the procedures, policies, and corrective actions necessary to ensure product quality</w:t>
            </w:r>
            <w:r>
              <w:t xml:space="preserve">. </w:t>
            </w:r>
          </w:p>
        </w:tc>
      </w:tr>
      <w:tr w:rsidR="00FC7670" w14:paraId="5DB9E851" w14:textId="77777777" w:rsidTr="008C0B34">
        <w:tc>
          <w:tcPr>
            <w:tcW w:w="3685" w:type="dxa"/>
          </w:tcPr>
          <w:p w14:paraId="07820CE7" w14:textId="304A9A36" w:rsidR="00FC7670" w:rsidRDefault="00FC7670" w:rsidP="00FC7670">
            <w:pPr>
              <w:pStyle w:val="Heading4"/>
            </w:pPr>
            <w:r>
              <w:t>R</w:t>
            </w:r>
          </w:p>
        </w:tc>
        <w:tc>
          <w:tcPr>
            <w:tcW w:w="6480" w:type="dxa"/>
          </w:tcPr>
          <w:p w14:paraId="2335B051" w14:textId="77777777" w:rsidR="00FC7670" w:rsidRPr="00A74BF6" w:rsidRDefault="00FC7670" w:rsidP="00FC7670">
            <w:pPr>
              <w:pStyle w:val="Content"/>
              <w:rPr>
                <w:bCs/>
              </w:rPr>
            </w:pPr>
          </w:p>
        </w:tc>
      </w:tr>
      <w:tr w:rsidR="000371A9" w14:paraId="3BD827A6" w14:textId="77777777" w:rsidTr="008C0B34">
        <w:tc>
          <w:tcPr>
            <w:tcW w:w="3685" w:type="dxa"/>
          </w:tcPr>
          <w:p w14:paraId="59222FC4" w14:textId="77777777" w:rsidR="000371A9" w:rsidRDefault="000371A9" w:rsidP="000371A9">
            <w:pPr>
              <w:pStyle w:val="Content"/>
            </w:pPr>
            <w:r w:rsidRPr="00367C64">
              <w:t>Relative Accuracy (RA)</w:t>
            </w:r>
          </w:p>
          <w:p w14:paraId="21A7F6BC" w14:textId="12B0AB18" w:rsidR="00FB0AF5" w:rsidRDefault="00FB0AF5" w:rsidP="00FB0AF5">
            <w:pPr>
              <w:pStyle w:val="Content"/>
            </w:pPr>
          </w:p>
          <w:p w14:paraId="151AC252" w14:textId="602DD3C6" w:rsidR="00B73BFB" w:rsidRPr="00BF5515" w:rsidRDefault="00B73BFB" w:rsidP="000371A9">
            <w:pPr>
              <w:pStyle w:val="Content"/>
            </w:pPr>
          </w:p>
        </w:tc>
        <w:tc>
          <w:tcPr>
            <w:tcW w:w="6480" w:type="dxa"/>
          </w:tcPr>
          <w:p w14:paraId="3C373826" w14:textId="05586F96" w:rsidR="000371A9" w:rsidRDefault="000371A9" w:rsidP="000371A9">
            <w:pPr>
              <w:pStyle w:val="Content"/>
            </w:pPr>
            <w:r>
              <w:t>A</w:t>
            </w:r>
            <w:r w:rsidR="59F0FF60">
              <w:t xml:space="preserve"> measure of the accuracy of a facility’s CMS when compared to a series of </w:t>
            </w:r>
            <w:r w:rsidR="49360311">
              <w:t xml:space="preserve">simultaneous </w:t>
            </w:r>
            <w:r w:rsidR="59F0FF60">
              <w:t xml:space="preserve">measurements made by a </w:t>
            </w:r>
            <w:r w:rsidR="005933C4">
              <w:t>r</w:t>
            </w:r>
            <w:r w:rsidR="59F0FF60">
              <w:t xml:space="preserve">eference </w:t>
            </w:r>
            <w:r w:rsidR="005933C4">
              <w:t>m</w:t>
            </w:r>
            <w:r w:rsidR="59F0FF60">
              <w:t xml:space="preserve">ethod </w:t>
            </w:r>
            <w:r w:rsidR="1C57B742">
              <w:t>measurement system</w:t>
            </w:r>
            <w:r w:rsidR="05D22329">
              <w:t>.</w:t>
            </w:r>
          </w:p>
          <w:p w14:paraId="3E9D83DA" w14:textId="60F1EDA8" w:rsidR="005E3525" w:rsidRPr="00BF5515" w:rsidRDefault="005E3525" w:rsidP="000371A9">
            <w:pPr>
              <w:pStyle w:val="Content"/>
            </w:pPr>
          </w:p>
        </w:tc>
      </w:tr>
      <w:tr w:rsidR="001A4383" w14:paraId="6C0613D4" w14:textId="77777777" w:rsidTr="008C0B34">
        <w:tc>
          <w:tcPr>
            <w:tcW w:w="3685" w:type="dxa"/>
          </w:tcPr>
          <w:p w14:paraId="7C92F340" w14:textId="77777777" w:rsidR="001A4383" w:rsidRPr="000976FE" w:rsidRDefault="001A4383" w:rsidP="001A4383">
            <w:pPr>
              <w:pStyle w:val="Content"/>
            </w:pPr>
            <w:r w:rsidRPr="000976FE">
              <w:t>Relative Accuracy Audit (RAA)</w:t>
            </w:r>
          </w:p>
          <w:p w14:paraId="3C5EF539" w14:textId="0F9C5C70" w:rsidR="00B73BFB" w:rsidRPr="000976FE" w:rsidRDefault="00B73BFB" w:rsidP="00E214A3">
            <w:pPr>
              <w:pStyle w:val="Content"/>
            </w:pPr>
          </w:p>
        </w:tc>
        <w:tc>
          <w:tcPr>
            <w:tcW w:w="6480" w:type="dxa"/>
          </w:tcPr>
          <w:p w14:paraId="03233A8B" w14:textId="77777777" w:rsidR="001A4383" w:rsidRDefault="001A4383" w:rsidP="001A4383">
            <w:pPr>
              <w:pStyle w:val="Content"/>
            </w:pPr>
            <w:r>
              <w:t>A</w:t>
            </w:r>
            <w:r w:rsidRPr="00646E34">
              <w:t xml:space="preserve">n alternative </w:t>
            </w:r>
            <w:r w:rsidRPr="00646E34">
              <w:rPr>
                <w:b/>
                <w:bCs/>
              </w:rPr>
              <w:t>quarterly</w:t>
            </w:r>
            <w:r w:rsidRPr="00646E34">
              <w:t xml:space="preserve"> audit procedure </w:t>
            </w:r>
            <w:r w:rsidR="00FB0AF5">
              <w:t>which correlates</w:t>
            </w:r>
            <w:r w:rsidRPr="00646E34">
              <w:t xml:space="preserve"> the CEMS data to simultaneously collected reference method </w:t>
            </w:r>
            <w:r w:rsidR="00FB0AF5">
              <w:t xml:space="preserve">(RM) </w:t>
            </w:r>
            <w:r w:rsidRPr="00646E34">
              <w:t>data.</w:t>
            </w:r>
          </w:p>
          <w:p w14:paraId="21F26B2B" w14:textId="2D71D5C9" w:rsidR="005E3525" w:rsidRPr="00BF5515" w:rsidRDefault="005E3525" w:rsidP="001A4383">
            <w:pPr>
              <w:pStyle w:val="Content"/>
            </w:pPr>
          </w:p>
        </w:tc>
      </w:tr>
      <w:tr w:rsidR="001A4383" w14:paraId="1679D444" w14:textId="77777777" w:rsidTr="008C0B34">
        <w:tc>
          <w:tcPr>
            <w:tcW w:w="3685" w:type="dxa"/>
          </w:tcPr>
          <w:p w14:paraId="7DE099F1" w14:textId="77777777" w:rsidR="00B73BFB" w:rsidRPr="000976FE" w:rsidRDefault="001A4383" w:rsidP="001A4383">
            <w:pPr>
              <w:pStyle w:val="Content"/>
            </w:pPr>
            <w:r w:rsidRPr="000976FE">
              <w:t xml:space="preserve">Relative Accuracy Test Audit </w:t>
            </w:r>
          </w:p>
          <w:p w14:paraId="43FC13A8" w14:textId="77777777" w:rsidR="001A4383" w:rsidRPr="000976FE" w:rsidRDefault="001A4383" w:rsidP="001A4383">
            <w:pPr>
              <w:pStyle w:val="Content"/>
            </w:pPr>
            <w:r w:rsidRPr="000976FE">
              <w:t>(RATA)</w:t>
            </w:r>
          </w:p>
          <w:p w14:paraId="7843A443" w14:textId="645FA2F9" w:rsidR="00B73BFB" w:rsidRPr="000976FE" w:rsidRDefault="00B73BFB" w:rsidP="00E214A3">
            <w:pPr>
              <w:pStyle w:val="Content"/>
            </w:pPr>
          </w:p>
        </w:tc>
        <w:tc>
          <w:tcPr>
            <w:tcW w:w="6480" w:type="dxa"/>
          </w:tcPr>
          <w:p w14:paraId="2E18A051" w14:textId="2068A79D" w:rsidR="001A4383" w:rsidRDefault="001A4383" w:rsidP="001A4383">
            <w:pPr>
              <w:pStyle w:val="Content"/>
            </w:pPr>
            <w:r>
              <w:t>T</w:t>
            </w:r>
            <w:r w:rsidRPr="00923AC0">
              <w:t xml:space="preserve">he </w:t>
            </w:r>
            <w:r w:rsidRPr="00070839">
              <w:rPr>
                <w:b/>
                <w:bCs/>
              </w:rPr>
              <w:t xml:space="preserve">annual </w:t>
            </w:r>
            <w:r w:rsidRPr="00923AC0">
              <w:t xml:space="preserve">comparative evaluation of the CEMS performance </w:t>
            </w:r>
            <w:r w:rsidR="00D16912">
              <w:t>using a RM. Consists of 9 or more RM test runs</w:t>
            </w:r>
            <w:r w:rsidR="2BB1B138">
              <w:t>, ea</w:t>
            </w:r>
            <w:r w:rsidR="69DF28D6">
              <w:t>c</w:t>
            </w:r>
            <w:r w:rsidR="2BB1B138">
              <w:t xml:space="preserve">h run being </w:t>
            </w:r>
            <w:r w:rsidR="00D16912">
              <w:t xml:space="preserve"> </w:t>
            </w:r>
            <w:r w:rsidR="49CA45B2">
              <w:t xml:space="preserve"> at least </w:t>
            </w:r>
            <w:r w:rsidR="00D16912">
              <w:t>21</w:t>
            </w:r>
            <w:r w:rsidR="005933C4">
              <w:t xml:space="preserve"> </w:t>
            </w:r>
            <w:r w:rsidR="00D16912">
              <w:t>minutes in duration.</w:t>
            </w:r>
            <w:r>
              <w:t xml:space="preserve"> </w:t>
            </w:r>
          </w:p>
          <w:p w14:paraId="560199E5" w14:textId="798994A6" w:rsidR="005E3525" w:rsidRPr="00BF5515" w:rsidRDefault="005E3525" w:rsidP="001A4383">
            <w:pPr>
              <w:pStyle w:val="Content"/>
            </w:pPr>
          </w:p>
        </w:tc>
      </w:tr>
      <w:tr w:rsidR="001A4383" w14:paraId="65CA214C" w14:textId="77777777" w:rsidTr="008C0B34">
        <w:tc>
          <w:tcPr>
            <w:tcW w:w="3685" w:type="dxa"/>
          </w:tcPr>
          <w:p w14:paraId="6C6A78C1" w14:textId="77777777" w:rsidR="00B73BFB" w:rsidRPr="000976FE" w:rsidRDefault="001A4383" w:rsidP="001A4383">
            <w:pPr>
              <w:pStyle w:val="Content"/>
            </w:pPr>
            <w:r w:rsidRPr="000976FE">
              <w:t>Response Time</w:t>
            </w:r>
          </w:p>
          <w:p w14:paraId="7BB37DA2" w14:textId="6C860493" w:rsidR="001A4383" w:rsidRPr="000976FE" w:rsidRDefault="001A4383" w:rsidP="00E214A3">
            <w:pPr>
              <w:pStyle w:val="Content"/>
            </w:pPr>
          </w:p>
        </w:tc>
        <w:tc>
          <w:tcPr>
            <w:tcW w:w="6480" w:type="dxa"/>
          </w:tcPr>
          <w:p w14:paraId="2FE7AC4F" w14:textId="2C37EF57" w:rsidR="001A4383" w:rsidRPr="00A74BF6" w:rsidRDefault="001A4383" w:rsidP="001A4383">
            <w:pPr>
              <w:pStyle w:val="Content"/>
              <w:rPr>
                <w:bCs/>
              </w:rPr>
            </w:pPr>
            <w:r w:rsidRPr="00191031">
              <w:t>Time interval between the start of a step change in the system input and when the pollutant analyzer output reaches 95% of the final value</w:t>
            </w:r>
            <w:r>
              <w:t>.</w:t>
            </w:r>
          </w:p>
        </w:tc>
      </w:tr>
      <w:tr w:rsidR="001A4383" w14:paraId="39AE835D" w14:textId="77777777" w:rsidTr="008C0B34">
        <w:tc>
          <w:tcPr>
            <w:tcW w:w="3685" w:type="dxa"/>
          </w:tcPr>
          <w:p w14:paraId="0D9CBA64" w14:textId="390ADB11" w:rsidR="001A4383" w:rsidRPr="000976FE" w:rsidRDefault="001A4383" w:rsidP="001A4383">
            <w:pPr>
              <w:pStyle w:val="Heading4"/>
            </w:pPr>
            <w:r w:rsidRPr="000976FE">
              <w:lastRenderedPageBreak/>
              <w:t>S</w:t>
            </w:r>
          </w:p>
        </w:tc>
        <w:tc>
          <w:tcPr>
            <w:tcW w:w="6480" w:type="dxa"/>
          </w:tcPr>
          <w:p w14:paraId="50A73524" w14:textId="77777777" w:rsidR="001A4383" w:rsidRPr="00A74BF6" w:rsidRDefault="001A4383" w:rsidP="001A4383">
            <w:pPr>
              <w:pStyle w:val="Content"/>
              <w:rPr>
                <w:bCs/>
              </w:rPr>
            </w:pPr>
          </w:p>
        </w:tc>
      </w:tr>
      <w:tr w:rsidR="001A4383" w14:paraId="070FDBC3" w14:textId="77777777" w:rsidTr="008C0B34">
        <w:tc>
          <w:tcPr>
            <w:tcW w:w="3685" w:type="dxa"/>
          </w:tcPr>
          <w:p w14:paraId="605D4EE3" w14:textId="77777777" w:rsidR="001A4383" w:rsidRPr="000976FE" w:rsidRDefault="001A4383" w:rsidP="001A4383">
            <w:pPr>
              <w:pStyle w:val="Content"/>
            </w:pPr>
            <w:r w:rsidRPr="000976FE">
              <w:t>Sample Interface</w:t>
            </w:r>
          </w:p>
          <w:p w14:paraId="0D25593F" w14:textId="52068D08" w:rsidR="00B73BFB" w:rsidRPr="000976FE" w:rsidRDefault="00B73BFB" w:rsidP="00E214A3">
            <w:pPr>
              <w:pStyle w:val="Content"/>
            </w:pPr>
          </w:p>
        </w:tc>
        <w:tc>
          <w:tcPr>
            <w:tcW w:w="6480" w:type="dxa"/>
          </w:tcPr>
          <w:p w14:paraId="3F329D8B" w14:textId="1D5970D8" w:rsidR="00D717B5" w:rsidRPr="00D717B5" w:rsidRDefault="00D717B5" w:rsidP="00D717B5">
            <w:pPr>
              <w:pStyle w:val="Content"/>
            </w:pPr>
            <w:r w:rsidRPr="00D717B5">
              <w:t>The portion of the system that is used for one or more of the following:</w:t>
            </w:r>
            <w:r>
              <w:t xml:space="preserve"> </w:t>
            </w:r>
            <w:r w:rsidRPr="00D717B5">
              <w:t>sample acquisition, sample transportation, </w:t>
            </w:r>
          </w:p>
          <w:p w14:paraId="63AAFF5D" w14:textId="77777777" w:rsidR="001A4383" w:rsidRDefault="00D717B5" w:rsidP="00D717B5">
            <w:pPr>
              <w:pStyle w:val="Content"/>
              <w:rPr>
                <w:bCs/>
                <w:szCs w:val="24"/>
              </w:rPr>
            </w:pPr>
            <w:r w:rsidRPr="00D717B5">
              <w:t>sample conditioning, or </w:t>
            </w:r>
            <w:r w:rsidRPr="00D717B5">
              <w:rPr>
                <w:bCs/>
                <w:szCs w:val="24"/>
              </w:rPr>
              <w:t>protection of the analyzer from the effects of the stack effluent.</w:t>
            </w:r>
          </w:p>
          <w:p w14:paraId="6CDD764A" w14:textId="01CAFF26" w:rsidR="005E3525" w:rsidRPr="00A74BF6" w:rsidRDefault="005E3525" w:rsidP="00D717B5">
            <w:pPr>
              <w:pStyle w:val="Content"/>
              <w:rPr>
                <w:bCs/>
              </w:rPr>
            </w:pPr>
          </w:p>
        </w:tc>
      </w:tr>
      <w:tr w:rsidR="0005325F" w14:paraId="05079A5E" w14:textId="77777777" w:rsidTr="008C0B34">
        <w:tc>
          <w:tcPr>
            <w:tcW w:w="3685" w:type="dxa"/>
          </w:tcPr>
          <w:p w14:paraId="68C2174E" w14:textId="77777777" w:rsidR="0005325F" w:rsidRDefault="0005325F" w:rsidP="0005325F">
            <w:pPr>
              <w:pStyle w:val="Content"/>
            </w:pPr>
            <w:r w:rsidRPr="00367C64">
              <w:t>Source-level Extractive System</w:t>
            </w:r>
          </w:p>
          <w:p w14:paraId="7904EB04" w14:textId="1EA0826D" w:rsidR="00B73BFB" w:rsidRDefault="00B73BFB" w:rsidP="00B73BFB">
            <w:pPr>
              <w:pStyle w:val="Content"/>
            </w:pPr>
          </w:p>
          <w:p w14:paraId="78349BA9" w14:textId="7B939B84" w:rsidR="00B73BFB" w:rsidRDefault="00B73BFB" w:rsidP="0005325F">
            <w:pPr>
              <w:pStyle w:val="Content"/>
            </w:pPr>
          </w:p>
        </w:tc>
        <w:tc>
          <w:tcPr>
            <w:tcW w:w="6480" w:type="dxa"/>
          </w:tcPr>
          <w:p w14:paraId="2F38136C" w14:textId="77777777" w:rsidR="0005325F" w:rsidRDefault="0005325F" w:rsidP="0005325F">
            <w:pPr>
              <w:pStyle w:val="Content"/>
            </w:pPr>
            <w:r w:rsidRPr="00810875">
              <w:t>The stack gas sample is withdrawn from the stack</w:t>
            </w:r>
            <w:r w:rsidR="08C31FC2">
              <w:t xml:space="preserve"> </w:t>
            </w:r>
            <w:r w:rsidR="5584D96E">
              <w:t>without conditioning or modification of the sample</w:t>
            </w:r>
            <w:r w:rsidR="6DA0BD95">
              <w:t xml:space="preserve">, </w:t>
            </w:r>
            <w:r w:rsidR="7E04E3D3">
              <w:t xml:space="preserve">other than coarse </w:t>
            </w:r>
            <w:r w:rsidR="6DA0BD95">
              <w:t>particulate removal,</w:t>
            </w:r>
            <w:r w:rsidR="5584D96E">
              <w:t xml:space="preserve"> until i</w:t>
            </w:r>
            <w:r w:rsidR="73FC3093">
              <w:t xml:space="preserve">t reaches </w:t>
            </w:r>
            <w:r w:rsidR="551D0F98">
              <w:t>t</w:t>
            </w:r>
            <w:r w:rsidR="15EEC1C7">
              <w:t>he</w:t>
            </w:r>
            <w:r w:rsidR="551D0F98">
              <w:t xml:space="preserve"> measurement </w:t>
            </w:r>
            <w:r w:rsidR="04D22DF1">
              <w:t>system</w:t>
            </w:r>
            <w:r w:rsidR="27289BC6">
              <w:t>, where the sample is conditioned</w:t>
            </w:r>
            <w:r w:rsidRPr="00A2322C">
              <w:t xml:space="preserve"> to remove any moisture and remaining fine particulate to prevent damage to the gas concentration analyzers</w:t>
            </w:r>
            <w:r>
              <w:t>.</w:t>
            </w:r>
            <w:r w:rsidR="4270DDF2">
              <w:t xml:space="preserve"> The sample line is heated to maintain the sample at stack gas temperature to prevent condensation that might scrub water-soluble </w:t>
            </w:r>
            <w:r w:rsidR="3E7184DA">
              <w:t>pollutants</w:t>
            </w:r>
            <w:r w:rsidR="6C395A62">
              <w:t xml:space="preserve"> an</w:t>
            </w:r>
            <w:r w:rsidR="553B47CD">
              <w:t>d</w:t>
            </w:r>
            <w:r w:rsidR="6C395A62">
              <w:t xml:space="preserve"> to prevent freezing in cold winter climates.</w:t>
            </w:r>
            <w:r w:rsidR="4270DDF2">
              <w:t xml:space="preserve"> </w:t>
            </w:r>
          </w:p>
          <w:p w14:paraId="1544A200" w14:textId="32137339" w:rsidR="005E3525" w:rsidRDefault="005E3525" w:rsidP="0005325F">
            <w:pPr>
              <w:pStyle w:val="Content"/>
            </w:pPr>
          </w:p>
        </w:tc>
      </w:tr>
      <w:tr w:rsidR="0005325F" w14:paraId="3A5792D0" w14:textId="77777777" w:rsidTr="008C0B34">
        <w:tc>
          <w:tcPr>
            <w:tcW w:w="3685" w:type="dxa"/>
          </w:tcPr>
          <w:p w14:paraId="7AEF2D80" w14:textId="77777777" w:rsidR="0005325F" w:rsidRPr="00367C64" w:rsidRDefault="0005325F" w:rsidP="0005325F">
            <w:pPr>
              <w:pStyle w:val="Content"/>
            </w:pPr>
            <w:r w:rsidRPr="00367C64">
              <w:t>Span Value</w:t>
            </w:r>
          </w:p>
          <w:p w14:paraId="3A0DB507" w14:textId="40C25978" w:rsidR="00B73BFB" w:rsidRPr="00367C64" w:rsidRDefault="00B73BFB" w:rsidP="00E214A3">
            <w:pPr>
              <w:pStyle w:val="Content"/>
            </w:pPr>
          </w:p>
        </w:tc>
        <w:tc>
          <w:tcPr>
            <w:tcW w:w="6480" w:type="dxa"/>
          </w:tcPr>
          <w:p w14:paraId="65F7E900" w14:textId="77777777" w:rsidR="0005325F" w:rsidRDefault="0005325F" w:rsidP="0005325F">
            <w:pPr>
              <w:pStyle w:val="Content"/>
            </w:pPr>
            <w:r w:rsidRPr="002E1137">
              <w:t>The calibration portion of the measurement range as specified in the applicable regulation or other requirement.</w:t>
            </w:r>
          </w:p>
          <w:p w14:paraId="3AE6910E" w14:textId="154DD52D" w:rsidR="005E3525" w:rsidRPr="00810875" w:rsidRDefault="005E3525" w:rsidP="0005325F">
            <w:pPr>
              <w:pStyle w:val="Content"/>
            </w:pPr>
          </w:p>
        </w:tc>
      </w:tr>
      <w:tr w:rsidR="0005325F" w14:paraId="61102A53" w14:textId="77777777" w:rsidTr="008C0B34">
        <w:tc>
          <w:tcPr>
            <w:tcW w:w="3685" w:type="dxa"/>
          </w:tcPr>
          <w:p w14:paraId="1B7350FF" w14:textId="77777777" w:rsidR="0005325F" w:rsidRPr="00367C64" w:rsidRDefault="0005325F" w:rsidP="0005325F">
            <w:pPr>
              <w:pStyle w:val="Content"/>
            </w:pPr>
            <w:r w:rsidRPr="00367C64">
              <w:t>Stratification</w:t>
            </w:r>
          </w:p>
          <w:p w14:paraId="1DB93BDC" w14:textId="2B1338B5" w:rsidR="00B73BFB" w:rsidRPr="00367C64" w:rsidRDefault="00B73BFB" w:rsidP="00E214A3">
            <w:pPr>
              <w:pStyle w:val="Content"/>
            </w:pPr>
          </w:p>
        </w:tc>
        <w:tc>
          <w:tcPr>
            <w:tcW w:w="6480" w:type="dxa"/>
          </w:tcPr>
          <w:p w14:paraId="47E64B2E" w14:textId="77777777" w:rsidR="0005325F" w:rsidRDefault="00B2540B" w:rsidP="0005325F">
            <w:pPr>
              <w:pStyle w:val="Content"/>
            </w:pPr>
            <w:r>
              <w:t>D</w:t>
            </w:r>
            <w:r w:rsidRPr="00B2540B">
              <w:t>ifference in excess of 10% between the average concentration at any point more than 1 meter from the duct or stack wall.</w:t>
            </w:r>
          </w:p>
          <w:p w14:paraId="663A2E54" w14:textId="72B2940A" w:rsidR="005E3525" w:rsidRPr="00810875" w:rsidRDefault="005E3525" w:rsidP="0005325F">
            <w:pPr>
              <w:pStyle w:val="Content"/>
            </w:pPr>
          </w:p>
        </w:tc>
      </w:tr>
      <w:tr w:rsidR="0005325F" w14:paraId="3F80254B" w14:textId="77777777" w:rsidTr="008C0B34">
        <w:tc>
          <w:tcPr>
            <w:tcW w:w="3685" w:type="dxa"/>
          </w:tcPr>
          <w:p w14:paraId="3D1211F2" w14:textId="77777777" w:rsidR="0005325F" w:rsidRPr="00367C64" w:rsidRDefault="0005325F" w:rsidP="0005325F">
            <w:pPr>
              <w:pStyle w:val="Content"/>
            </w:pPr>
            <w:r w:rsidRPr="00367C64">
              <w:t>System Calibration</w:t>
            </w:r>
          </w:p>
          <w:p w14:paraId="6942AE1F" w14:textId="6CD18617" w:rsidR="00B73BFB" w:rsidRPr="00367C64" w:rsidRDefault="00B73BFB" w:rsidP="00E214A3">
            <w:pPr>
              <w:pStyle w:val="Content"/>
            </w:pPr>
          </w:p>
        </w:tc>
        <w:tc>
          <w:tcPr>
            <w:tcW w:w="6480" w:type="dxa"/>
          </w:tcPr>
          <w:p w14:paraId="4B56370D" w14:textId="77777777" w:rsidR="0005325F" w:rsidRDefault="0005325F" w:rsidP="0005325F">
            <w:pPr>
              <w:pStyle w:val="Content"/>
            </w:pPr>
            <w:r w:rsidRPr="008A2BC2">
              <w:t>Sampling system is purged with the calibration standard to verify that the absorbance measured is equal to the absorbance in the analyte calibration.</w:t>
            </w:r>
          </w:p>
          <w:p w14:paraId="3E1ED28C" w14:textId="68DEEDD0" w:rsidR="005E3525" w:rsidRPr="00810875" w:rsidRDefault="005E3525" w:rsidP="0005325F">
            <w:pPr>
              <w:pStyle w:val="Content"/>
            </w:pPr>
          </w:p>
        </w:tc>
      </w:tr>
      <w:tr w:rsidR="0005325F" w14:paraId="729489B3" w14:textId="77777777" w:rsidTr="008C0B34">
        <w:tc>
          <w:tcPr>
            <w:tcW w:w="3685" w:type="dxa"/>
          </w:tcPr>
          <w:p w14:paraId="0C209ECB" w14:textId="77777777" w:rsidR="0005325F" w:rsidRDefault="0005325F" w:rsidP="0005325F">
            <w:pPr>
              <w:pStyle w:val="Content"/>
            </w:pPr>
            <w:r>
              <w:t>System/Field Audit</w:t>
            </w:r>
          </w:p>
          <w:p w14:paraId="75F74340" w14:textId="17CF70A1" w:rsidR="00B73BFB" w:rsidRDefault="00B73BFB" w:rsidP="00E214A3">
            <w:pPr>
              <w:pStyle w:val="Content"/>
            </w:pPr>
          </w:p>
        </w:tc>
        <w:tc>
          <w:tcPr>
            <w:tcW w:w="6480" w:type="dxa"/>
          </w:tcPr>
          <w:p w14:paraId="29DBDC06" w14:textId="4F951DFE" w:rsidR="0005325F" w:rsidRPr="008A2BC2" w:rsidRDefault="0005325F" w:rsidP="0005325F">
            <w:pPr>
              <w:pStyle w:val="Content"/>
            </w:pPr>
            <w:r>
              <w:t>A q</w:t>
            </w:r>
            <w:r w:rsidRPr="00685E8F">
              <w:t>ualitative evaluation involving an inspection</w:t>
            </w:r>
            <w:r>
              <w:t xml:space="preserve">. </w:t>
            </w:r>
            <w:r w:rsidRPr="00456A9F">
              <w:t>System or field audits are an opportunity to provide information to the source on the regulatory requirements, and for the inspector to observe monitoring practices that may lead to regulatory problems</w:t>
            </w:r>
            <w:r>
              <w:t>.</w:t>
            </w:r>
          </w:p>
        </w:tc>
      </w:tr>
      <w:tr w:rsidR="0005325F" w14:paraId="025F898B" w14:textId="77777777" w:rsidTr="008C0B34">
        <w:tc>
          <w:tcPr>
            <w:tcW w:w="3685" w:type="dxa"/>
          </w:tcPr>
          <w:p w14:paraId="761BE1C7" w14:textId="7082DFA8" w:rsidR="0005325F" w:rsidRDefault="0005325F" w:rsidP="0005325F">
            <w:pPr>
              <w:pStyle w:val="Heading4"/>
            </w:pPr>
            <w:r>
              <w:t>T</w:t>
            </w:r>
          </w:p>
        </w:tc>
        <w:tc>
          <w:tcPr>
            <w:tcW w:w="6480" w:type="dxa"/>
          </w:tcPr>
          <w:p w14:paraId="26B17EF0" w14:textId="77777777" w:rsidR="0005325F" w:rsidRPr="00A74BF6" w:rsidRDefault="0005325F" w:rsidP="0005325F">
            <w:pPr>
              <w:pStyle w:val="Content"/>
              <w:rPr>
                <w:bCs/>
              </w:rPr>
            </w:pPr>
          </w:p>
        </w:tc>
      </w:tr>
      <w:tr w:rsidR="0005325F" w14:paraId="01E4C72F" w14:textId="77777777" w:rsidTr="008C0B34">
        <w:tc>
          <w:tcPr>
            <w:tcW w:w="3685" w:type="dxa"/>
          </w:tcPr>
          <w:p w14:paraId="37B37F01" w14:textId="77777777" w:rsidR="0005325F" w:rsidRPr="00367C64" w:rsidRDefault="0005325F" w:rsidP="0005325F">
            <w:pPr>
              <w:pStyle w:val="Content"/>
            </w:pPr>
            <w:r w:rsidRPr="00367C64">
              <w:t>Transmissometry</w:t>
            </w:r>
          </w:p>
          <w:p w14:paraId="222C2A3F" w14:textId="41280779" w:rsidR="00B73BFB" w:rsidRPr="00367C64" w:rsidRDefault="00B73BFB" w:rsidP="00E214A3">
            <w:pPr>
              <w:pStyle w:val="Content"/>
            </w:pPr>
          </w:p>
        </w:tc>
        <w:tc>
          <w:tcPr>
            <w:tcW w:w="6480" w:type="dxa"/>
          </w:tcPr>
          <w:p w14:paraId="7B3B8CC5" w14:textId="77777777" w:rsidR="0005325F" w:rsidRDefault="0005325F" w:rsidP="0005325F">
            <w:pPr>
              <w:pStyle w:val="Content"/>
            </w:pPr>
            <w:r>
              <w:t>T</w:t>
            </w:r>
            <w:r w:rsidRPr="003A162C">
              <w:t>he measurement of the amount of light that can be transmitted through a stack exhaust</w:t>
            </w:r>
            <w:r>
              <w:t>.</w:t>
            </w:r>
          </w:p>
          <w:p w14:paraId="135D6B29" w14:textId="458ADC8B" w:rsidR="005E3525" w:rsidRPr="00FC3EBE" w:rsidRDefault="005E3525" w:rsidP="0005325F">
            <w:pPr>
              <w:pStyle w:val="Content"/>
            </w:pPr>
          </w:p>
        </w:tc>
      </w:tr>
      <w:tr w:rsidR="0005325F" w14:paraId="1A2C4B1F" w14:textId="77777777" w:rsidTr="008C0B34">
        <w:tc>
          <w:tcPr>
            <w:tcW w:w="3685" w:type="dxa"/>
          </w:tcPr>
          <w:p w14:paraId="0121A893" w14:textId="77777777" w:rsidR="0005325F" w:rsidRPr="00367C64" w:rsidRDefault="0005325F" w:rsidP="0005325F">
            <w:pPr>
              <w:pStyle w:val="Content"/>
            </w:pPr>
            <w:r w:rsidRPr="00367C64">
              <w:t>Transmittance (Tr)</w:t>
            </w:r>
          </w:p>
          <w:p w14:paraId="1E41F623" w14:textId="5DE6FA6A" w:rsidR="00B73BFB" w:rsidRPr="00367C64" w:rsidRDefault="00B73BFB" w:rsidP="00E214A3">
            <w:pPr>
              <w:pStyle w:val="Content"/>
            </w:pPr>
          </w:p>
        </w:tc>
        <w:tc>
          <w:tcPr>
            <w:tcW w:w="6480" w:type="dxa"/>
          </w:tcPr>
          <w:p w14:paraId="2B0434BC" w14:textId="77777777" w:rsidR="0005325F" w:rsidRDefault="0005325F" w:rsidP="0005325F">
            <w:pPr>
              <w:pStyle w:val="Content"/>
            </w:pPr>
            <w:r w:rsidRPr="00FC3EBE">
              <w:t>The percentage of light that is transmitted through an optical medium.</w:t>
            </w:r>
          </w:p>
          <w:p w14:paraId="638C5881" w14:textId="77777777" w:rsidR="0005325F" w:rsidRPr="00A74BF6" w:rsidRDefault="0005325F" w:rsidP="0005325F">
            <w:pPr>
              <w:pStyle w:val="Content"/>
              <w:rPr>
                <w:bCs/>
              </w:rPr>
            </w:pPr>
          </w:p>
        </w:tc>
      </w:tr>
      <w:tr w:rsidR="0005325F" w14:paraId="6968D741" w14:textId="77777777" w:rsidTr="008C0B34">
        <w:tc>
          <w:tcPr>
            <w:tcW w:w="3685" w:type="dxa"/>
          </w:tcPr>
          <w:p w14:paraId="7F099892" w14:textId="77777777" w:rsidR="0005325F" w:rsidRPr="00367C64" w:rsidRDefault="0005325F" w:rsidP="0005325F">
            <w:pPr>
              <w:pStyle w:val="Content"/>
            </w:pPr>
            <w:r w:rsidRPr="00367C64">
              <w:lastRenderedPageBreak/>
              <w:t>Tunable Diode Laser (TDL)</w:t>
            </w:r>
          </w:p>
          <w:p w14:paraId="7D731434" w14:textId="6E3EECA6" w:rsidR="00B73BFB" w:rsidRPr="00367C64" w:rsidRDefault="00B73BFB" w:rsidP="00E214A3">
            <w:pPr>
              <w:pStyle w:val="Content"/>
            </w:pPr>
          </w:p>
        </w:tc>
        <w:tc>
          <w:tcPr>
            <w:tcW w:w="6480" w:type="dxa"/>
          </w:tcPr>
          <w:p w14:paraId="42DB12B1" w14:textId="5EEF24A3" w:rsidR="0005325F" w:rsidRPr="00FC3EBE" w:rsidRDefault="0005325F" w:rsidP="0005325F">
            <w:pPr>
              <w:pStyle w:val="Content"/>
            </w:pPr>
            <w:r w:rsidRPr="000E594F">
              <w:t>TDL spectroscopy uses the absorbance spectra of target gases and the ability to tune the laser to a specific absorbance wavelength of the gas to measure the gas concentration. It can achieve very low detection limits (ppb)</w:t>
            </w:r>
            <w:r>
              <w:t>,</w:t>
            </w:r>
            <w:r w:rsidRPr="000E594F">
              <w:t xml:space="preserve"> and it is also possible to determine the temperature, pressure, velocity and mass flux of the gas being measured.  It is sometimes used as the light source in </w:t>
            </w:r>
            <w:r w:rsidR="00B2540B">
              <w:t>c</w:t>
            </w:r>
            <w:r w:rsidRPr="000E594F">
              <w:t xml:space="preserve">avity </w:t>
            </w:r>
            <w:r w:rsidR="00B2540B">
              <w:t>r</w:t>
            </w:r>
            <w:r w:rsidRPr="000E594F">
              <w:t>ing-</w:t>
            </w:r>
            <w:r w:rsidR="00B2540B">
              <w:t>d</w:t>
            </w:r>
            <w:r w:rsidRPr="000E594F">
              <w:t xml:space="preserve">own </w:t>
            </w:r>
            <w:r w:rsidR="00B2540B">
              <w:t>s</w:t>
            </w:r>
            <w:r w:rsidRPr="000E594F">
              <w:t>pectroscopy</w:t>
            </w:r>
            <w:r w:rsidR="00B2540B">
              <w:t xml:space="preserve"> (CRDS)</w:t>
            </w:r>
            <w:r>
              <w:t>.</w:t>
            </w:r>
          </w:p>
        </w:tc>
      </w:tr>
      <w:tr w:rsidR="0005325F" w14:paraId="6911E755" w14:textId="77777777" w:rsidTr="008C0B34">
        <w:tc>
          <w:tcPr>
            <w:tcW w:w="3685" w:type="dxa"/>
          </w:tcPr>
          <w:p w14:paraId="22E0D50D" w14:textId="6702A56A" w:rsidR="0005325F" w:rsidRDefault="0005325F" w:rsidP="0005325F">
            <w:pPr>
              <w:pStyle w:val="Heading4"/>
            </w:pPr>
            <w:r>
              <w:t>U</w:t>
            </w:r>
          </w:p>
        </w:tc>
        <w:tc>
          <w:tcPr>
            <w:tcW w:w="6480" w:type="dxa"/>
          </w:tcPr>
          <w:p w14:paraId="265A1630" w14:textId="77777777" w:rsidR="0005325F" w:rsidRPr="00A74BF6" w:rsidRDefault="0005325F" w:rsidP="0005325F">
            <w:pPr>
              <w:pStyle w:val="Content"/>
              <w:rPr>
                <w:bCs/>
              </w:rPr>
            </w:pPr>
          </w:p>
        </w:tc>
      </w:tr>
      <w:tr w:rsidR="0005325F" w14:paraId="3828FF6D" w14:textId="77777777" w:rsidTr="008C0B34">
        <w:tc>
          <w:tcPr>
            <w:tcW w:w="3685" w:type="dxa"/>
          </w:tcPr>
          <w:p w14:paraId="230EE634" w14:textId="77777777" w:rsidR="0005325F" w:rsidRDefault="0005325F" w:rsidP="0005325F">
            <w:pPr>
              <w:pStyle w:val="Content"/>
            </w:pPr>
            <w:r w:rsidRPr="00367C64">
              <w:t>Ultrasonic Flowmeter</w:t>
            </w:r>
          </w:p>
          <w:p w14:paraId="717E1343" w14:textId="5E7E0190" w:rsidR="00B73BFB" w:rsidRDefault="00B73BFB" w:rsidP="00E214A3">
            <w:pPr>
              <w:pStyle w:val="Content"/>
            </w:pPr>
          </w:p>
        </w:tc>
        <w:tc>
          <w:tcPr>
            <w:tcW w:w="6480" w:type="dxa"/>
          </w:tcPr>
          <w:p w14:paraId="0CB5DE97" w14:textId="796626E5" w:rsidR="0005325F" w:rsidRPr="00A74BF6" w:rsidRDefault="0005325F" w:rsidP="0005325F">
            <w:pPr>
              <w:pStyle w:val="Content"/>
              <w:rPr>
                <w:bCs/>
              </w:rPr>
            </w:pPr>
            <w:r>
              <w:t>U</w:t>
            </w:r>
            <w:r w:rsidRPr="00B61C06">
              <w:t>ses a pair of transmitter/receivers mounted on opposite side of the stack, with one upstream from the other. The signal is alternated between them, sending it in the direction of stack gas flow, where it is speeded up, and then against the direction of flow, where it is slowed down.  The difference in the time between the two signals is proportional to the stack gas velocity.</w:t>
            </w:r>
          </w:p>
        </w:tc>
      </w:tr>
      <w:tr w:rsidR="0005325F" w14:paraId="258E81A6" w14:textId="77777777" w:rsidTr="008C0B34">
        <w:tc>
          <w:tcPr>
            <w:tcW w:w="3685" w:type="dxa"/>
          </w:tcPr>
          <w:p w14:paraId="077C75D5" w14:textId="6B90BD61" w:rsidR="0005325F" w:rsidRDefault="0005325F" w:rsidP="0005325F">
            <w:pPr>
              <w:pStyle w:val="Heading4"/>
            </w:pPr>
            <w:r>
              <w:t>V</w:t>
            </w:r>
          </w:p>
        </w:tc>
        <w:tc>
          <w:tcPr>
            <w:tcW w:w="6480" w:type="dxa"/>
          </w:tcPr>
          <w:p w14:paraId="4CC10FF8" w14:textId="77777777" w:rsidR="0005325F" w:rsidRPr="00A74BF6" w:rsidRDefault="0005325F" w:rsidP="0005325F">
            <w:pPr>
              <w:pStyle w:val="Content"/>
              <w:rPr>
                <w:bCs/>
              </w:rPr>
            </w:pPr>
          </w:p>
        </w:tc>
      </w:tr>
      <w:tr w:rsidR="0005325F" w14:paraId="0BA82130" w14:textId="77777777" w:rsidTr="008C0B34">
        <w:tc>
          <w:tcPr>
            <w:tcW w:w="3685" w:type="dxa"/>
          </w:tcPr>
          <w:p w14:paraId="22786BC5" w14:textId="2ABE2554" w:rsidR="0005325F" w:rsidRDefault="0005325F" w:rsidP="0005325F">
            <w:pPr>
              <w:pStyle w:val="Heading4"/>
            </w:pPr>
            <w:r>
              <w:t>W</w:t>
            </w:r>
          </w:p>
        </w:tc>
        <w:tc>
          <w:tcPr>
            <w:tcW w:w="6480" w:type="dxa"/>
          </w:tcPr>
          <w:p w14:paraId="00CB2070" w14:textId="77777777" w:rsidR="0005325F" w:rsidRPr="00A74BF6" w:rsidRDefault="0005325F" w:rsidP="0005325F">
            <w:pPr>
              <w:pStyle w:val="Content"/>
              <w:rPr>
                <w:bCs/>
              </w:rPr>
            </w:pPr>
          </w:p>
        </w:tc>
      </w:tr>
      <w:tr w:rsidR="0005325F" w14:paraId="2927488F" w14:textId="77777777" w:rsidTr="008C0B34">
        <w:tc>
          <w:tcPr>
            <w:tcW w:w="3685" w:type="dxa"/>
          </w:tcPr>
          <w:p w14:paraId="73AE85DA" w14:textId="5BAAE15A" w:rsidR="0005325F" w:rsidRDefault="0005325F" w:rsidP="0005325F">
            <w:pPr>
              <w:pStyle w:val="Heading4"/>
            </w:pPr>
            <w:r>
              <w:t>X</w:t>
            </w:r>
          </w:p>
        </w:tc>
        <w:tc>
          <w:tcPr>
            <w:tcW w:w="6480" w:type="dxa"/>
          </w:tcPr>
          <w:p w14:paraId="0951FB6D" w14:textId="77777777" w:rsidR="0005325F" w:rsidRPr="00A74BF6" w:rsidRDefault="0005325F" w:rsidP="0005325F">
            <w:pPr>
              <w:pStyle w:val="Content"/>
              <w:rPr>
                <w:bCs/>
              </w:rPr>
            </w:pPr>
          </w:p>
        </w:tc>
      </w:tr>
      <w:tr w:rsidR="0005325F" w14:paraId="58BAB0C4" w14:textId="77777777" w:rsidTr="008C0B34">
        <w:tc>
          <w:tcPr>
            <w:tcW w:w="3685" w:type="dxa"/>
          </w:tcPr>
          <w:p w14:paraId="6FAFD35C" w14:textId="459431BB" w:rsidR="0005325F" w:rsidRDefault="0005325F" w:rsidP="0005325F">
            <w:pPr>
              <w:pStyle w:val="Heading4"/>
            </w:pPr>
            <w:r>
              <w:t>Y</w:t>
            </w:r>
          </w:p>
        </w:tc>
        <w:tc>
          <w:tcPr>
            <w:tcW w:w="6480" w:type="dxa"/>
          </w:tcPr>
          <w:p w14:paraId="474C6490" w14:textId="77777777" w:rsidR="0005325F" w:rsidRPr="00A74BF6" w:rsidRDefault="0005325F" w:rsidP="0005325F">
            <w:pPr>
              <w:pStyle w:val="Content"/>
              <w:rPr>
                <w:bCs/>
              </w:rPr>
            </w:pPr>
          </w:p>
        </w:tc>
      </w:tr>
      <w:tr w:rsidR="0005325F" w14:paraId="58B97122" w14:textId="77777777" w:rsidTr="008C0B34">
        <w:tc>
          <w:tcPr>
            <w:tcW w:w="3685" w:type="dxa"/>
          </w:tcPr>
          <w:p w14:paraId="61A4715E" w14:textId="6144AC52" w:rsidR="0005325F" w:rsidRDefault="0005325F" w:rsidP="0005325F">
            <w:pPr>
              <w:pStyle w:val="Heading4"/>
            </w:pPr>
            <w:r>
              <w:t>Z</w:t>
            </w:r>
          </w:p>
        </w:tc>
        <w:tc>
          <w:tcPr>
            <w:tcW w:w="6480" w:type="dxa"/>
          </w:tcPr>
          <w:p w14:paraId="7C9E1C87" w14:textId="77777777" w:rsidR="0005325F" w:rsidRPr="00A74BF6" w:rsidRDefault="0005325F" w:rsidP="0005325F">
            <w:pPr>
              <w:pStyle w:val="Content"/>
              <w:rPr>
                <w:bCs/>
              </w:rPr>
            </w:pPr>
          </w:p>
        </w:tc>
      </w:tr>
      <w:tr w:rsidR="0005325F" w14:paraId="1129ED7C" w14:textId="77777777" w:rsidTr="008C0B34">
        <w:tc>
          <w:tcPr>
            <w:tcW w:w="3685" w:type="dxa"/>
          </w:tcPr>
          <w:p w14:paraId="7FEFC48F" w14:textId="77777777" w:rsidR="0005325F" w:rsidRPr="00367C64" w:rsidRDefault="0005325F" w:rsidP="0005325F">
            <w:pPr>
              <w:pStyle w:val="Content"/>
            </w:pPr>
            <w:r w:rsidRPr="00367C64">
              <w:t>Zirconium Oxide 0</w:t>
            </w:r>
            <w:r w:rsidRPr="00367C64">
              <w:rPr>
                <w:vertAlign w:val="subscript"/>
              </w:rPr>
              <w:t>2</w:t>
            </w:r>
            <w:r w:rsidRPr="00367C64">
              <w:t xml:space="preserve"> Analyzer</w:t>
            </w:r>
          </w:p>
          <w:p w14:paraId="7FBB326E" w14:textId="1ED22C07" w:rsidR="00B73BFB" w:rsidRDefault="00B73BFB" w:rsidP="00E214A3">
            <w:pPr>
              <w:pStyle w:val="Content"/>
            </w:pPr>
          </w:p>
        </w:tc>
        <w:tc>
          <w:tcPr>
            <w:tcW w:w="6480" w:type="dxa"/>
          </w:tcPr>
          <w:p w14:paraId="3D1ACB49" w14:textId="77777777" w:rsidR="0005325F" w:rsidRDefault="0005325F" w:rsidP="0005325F">
            <w:pPr>
              <w:pStyle w:val="Content"/>
            </w:pPr>
            <w:r>
              <w:t>A</w:t>
            </w:r>
            <w:r w:rsidRPr="000A0609">
              <w:t>n electrochemical cell which is porous to O</w:t>
            </w:r>
            <w:r w:rsidRPr="00B2540B">
              <w:rPr>
                <w:vertAlign w:val="subscript"/>
              </w:rPr>
              <w:t>2</w:t>
            </w:r>
            <w:r w:rsidRPr="000A0609">
              <w:t xml:space="preserve"> when heated to high temperature, allowing the O</w:t>
            </w:r>
            <w:r w:rsidRPr="00B2540B">
              <w:rPr>
                <w:vertAlign w:val="subscript"/>
              </w:rPr>
              <w:t>2</w:t>
            </w:r>
            <w:r w:rsidRPr="000A0609">
              <w:t xml:space="preserve"> to pass from the high concentration side (reference) to low concentration side (sample) and generating a voltage proportional to the difference in O</w:t>
            </w:r>
            <w:r w:rsidRPr="00B2540B">
              <w:rPr>
                <w:vertAlign w:val="subscript"/>
              </w:rPr>
              <w:t>2</w:t>
            </w:r>
            <w:r w:rsidRPr="000A0609">
              <w:t xml:space="preserve"> concentrations.</w:t>
            </w:r>
          </w:p>
          <w:p w14:paraId="47F581B7" w14:textId="77777777" w:rsidR="0005325F" w:rsidRDefault="0005325F" w:rsidP="0005325F">
            <w:pPr>
              <w:pStyle w:val="Content"/>
            </w:pPr>
          </w:p>
          <w:p w14:paraId="307E2D49" w14:textId="77777777" w:rsidR="0005325F" w:rsidRDefault="0005325F" w:rsidP="0005325F">
            <w:pPr>
              <w:pStyle w:val="Content"/>
            </w:pPr>
          </w:p>
          <w:p w14:paraId="739C2142" w14:textId="77777777" w:rsidR="0005325F" w:rsidRDefault="0005325F" w:rsidP="0005325F">
            <w:pPr>
              <w:pStyle w:val="Content"/>
            </w:pPr>
          </w:p>
          <w:p w14:paraId="47B4D5B7" w14:textId="77777777" w:rsidR="0005325F" w:rsidRDefault="0005325F" w:rsidP="0005325F">
            <w:pPr>
              <w:pStyle w:val="Content"/>
            </w:pPr>
          </w:p>
          <w:p w14:paraId="1E0A6DFB" w14:textId="4BC2859C" w:rsidR="0005325F" w:rsidRDefault="0005325F" w:rsidP="0005325F">
            <w:pPr>
              <w:pStyle w:val="Content"/>
            </w:pPr>
          </w:p>
        </w:tc>
      </w:tr>
    </w:tbl>
    <w:p w14:paraId="0519E7B5" w14:textId="2D32BEAD" w:rsidR="00481214" w:rsidRPr="00BA377F" w:rsidRDefault="00481214" w:rsidP="002D2B06">
      <w:pPr>
        <w:rPr>
          <w14:textOutline w14:w="9525" w14:cap="rnd" w14:cmpd="sng" w14:algn="ctr">
            <w14:noFill/>
            <w14:prstDash w14:val="solid"/>
            <w14:bevel/>
          </w14:textOutline>
        </w:rPr>
      </w:pPr>
    </w:p>
    <w:sectPr w:rsidR="00481214" w:rsidRPr="00BA377F" w:rsidSect="000D7417">
      <w:headerReference w:type="default" r:id="rId12"/>
      <w:footerReference w:type="default" r:id="rId13"/>
      <w:pgSz w:w="12240" w:h="15840"/>
      <w:pgMar w:top="1530" w:right="1152" w:bottom="1890" w:left="1152" w:header="864" w:footer="785" w:gutter="0"/>
      <w:cols w:space="720"/>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DFCE9" w14:textId="77777777" w:rsidR="00AC1497" w:rsidRDefault="00AC1497">
      <w:r>
        <w:separator/>
      </w:r>
    </w:p>
    <w:p w14:paraId="7FEC52F4" w14:textId="77777777" w:rsidR="00AC1497" w:rsidRDefault="00AC1497"/>
  </w:endnote>
  <w:endnote w:type="continuationSeparator" w:id="0">
    <w:p w14:paraId="6D62F0B3" w14:textId="77777777" w:rsidR="00AC1497" w:rsidRDefault="00AC1497">
      <w:r>
        <w:continuationSeparator/>
      </w:r>
    </w:p>
    <w:p w14:paraId="07B8E496" w14:textId="77777777" w:rsidR="00AC1497" w:rsidRDefault="00AC1497"/>
  </w:endnote>
  <w:endnote w:type="continuationNotice" w:id="1">
    <w:p w14:paraId="5F0637A8" w14:textId="77777777" w:rsidR="00AC1497" w:rsidRDefault="00AC14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7977412"/>
      <w:docPartObj>
        <w:docPartGallery w:val="Page Numbers (Bottom of Page)"/>
        <w:docPartUnique/>
      </w:docPartObj>
    </w:sdtPr>
    <w:sdtEndPr/>
    <w:sdtContent>
      <w:p w14:paraId="238D3BA8" w14:textId="5D66332E" w:rsidR="00A71BC6" w:rsidRDefault="00A71BC6">
        <w:pPr>
          <w:pStyle w:val="Footer"/>
        </w:pPr>
        <w:r>
          <w:rPr>
            <w:noProof/>
          </w:rPr>
          <mc:AlternateContent>
            <mc:Choice Requires="wps">
              <w:drawing>
                <wp:inline distT="0" distB="0" distL="0" distR="0" wp14:anchorId="592426FB" wp14:editId="6D9989BC">
                  <wp:extent cx="1667933" cy="1191260"/>
                  <wp:effectExtent l="0" t="0" r="8890" b="0"/>
                  <wp:docPr id="13" name="Isosceles Tri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667933" cy="1191260"/>
                          </a:xfrm>
                          <a:prstGeom prst="triangle">
                            <a:avLst>
                              <a:gd name="adj" fmla="val 100000"/>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280C03" w14:textId="77777777" w:rsidR="00A71BC6" w:rsidRPr="003101C1" w:rsidRDefault="00A71BC6" w:rsidP="005A4B09">
                              <w:pPr>
                                <w:jc w:val="center"/>
                                <w:rPr>
                                  <w:sz w:val="20"/>
                                  <w:szCs w:val="48"/>
                                </w:rPr>
                              </w:pPr>
                              <w:r w:rsidRPr="003101C1">
                                <w:rPr>
                                  <w:rFonts w:cs="Times New Roman"/>
                                  <w:color w:val="auto"/>
                                  <w:sz w:val="16"/>
                                  <w:szCs w:val="16"/>
                                </w:rPr>
                                <w:fldChar w:fldCharType="begin"/>
                              </w:r>
                              <w:r w:rsidRPr="003101C1">
                                <w:rPr>
                                  <w:sz w:val="20"/>
                                  <w:szCs w:val="16"/>
                                </w:rPr>
                                <w:instrText xml:space="preserve"> PAGE    \* MERGEFORMAT </w:instrText>
                              </w:r>
                              <w:r w:rsidRPr="003101C1">
                                <w:rPr>
                                  <w:rFonts w:cs="Times New Roman"/>
                                  <w:color w:val="auto"/>
                                  <w:sz w:val="16"/>
                                  <w:szCs w:val="16"/>
                                </w:rPr>
                                <w:fldChar w:fldCharType="separate"/>
                              </w:r>
                              <w:r w:rsidRPr="003101C1">
                                <w:rPr>
                                  <w:rFonts w:asciiTheme="majorHAnsi" w:eastAsiaTheme="majorEastAsia" w:hAnsiTheme="majorHAnsi" w:cstheme="majorBidi"/>
                                  <w:noProof/>
                                  <w:color w:val="FFFFFF" w:themeColor="background1"/>
                                  <w:sz w:val="48"/>
                                  <w:szCs w:val="48"/>
                                </w:rPr>
                                <w:t>2</w:t>
                              </w:r>
                              <w:r w:rsidRPr="003101C1">
                                <w:rPr>
                                  <w:rFonts w:asciiTheme="majorHAnsi" w:eastAsiaTheme="majorEastAsia" w:hAnsiTheme="majorHAnsi" w:cstheme="majorBidi"/>
                                  <w:noProof/>
                                  <w:color w:val="FFFFFF" w:themeColor="background1"/>
                                  <w:sz w:val="48"/>
                                  <w:szCs w:val="48"/>
                                </w:rPr>
                                <w:fldChar w:fldCharType="end"/>
                              </w:r>
                            </w:p>
                          </w:txbxContent>
                        </wps:txbx>
                        <wps:bodyPr rot="0" vert="horz" wrap="square" lIns="91440" tIns="45720" rIns="91440" bIns="45720" anchor="t" anchorCtr="0" upright="1">
                          <a:noAutofit/>
                        </wps:bodyPr>
                      </wps:wsp>
                    </a:graphicData>
                  </a:graphic>
                </wp:inline>
              </w:drawing>
            </mc:Choice>
            <mc:Fallback>
              <w:pict>
                <v:shapetype w14:anchorId="592426F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3" o:spid="_x0000_s1026" type="#_x0000_t5" style="width:131.35pt;height:93.8pt;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" adj="21600" fillcolor="#082a75 [3215]" stroked="f" strokeweight="2pt">
                  <v:textbox>
                    <w:txbxContent>
                      <w:p w14:paraId="7A280C03" w14:textId="77777777" w:rsidR="00A71BC6" w:rsidRPr="003101C1" w:rsidRDefault="00A71BC6" w:rsidP="005A4B09">
                        <w:pPr>
                          <w:jc w:val="center"/>
                          <w:rPr>
                            <w:sz w:val="20"/>
                            <w:szCs w:val="48"/>
                          </w:rPr>
                        </w:pPr>
                        <w:r w:rsidRPr="003101C1">
                          <w:rPr>
                            <w:rFonts w:cs="Times New Roman"/>
                            <w:color w:val="auto"/>
                            <w:sz w:val="16"/>
                            <w:szCs w:val="16"/>
                          </w:rPr>
                          <w:fldChar w:fldCharType="begin"/>
                        </w:r>
                        <w:r w:rsidRPr="003101C1">
                          <w:rPr>
                            <w:sz w:val="20"/>
                            <w:szCs w:val="16"/>
                          </w:rPr>
                          <w:instrText xml:space="preserve"> PAGE    \* MERGEFORMAT </w:instrText>
                        </w:r>
                        <w:r w:rsidRPr="003101C1">
                          <w:rPr>
                            <w:rFonts w:cs="Times New Roman"/>
                            <w:color w:val="auto"/>
                            <w:sz w:val="16"/>
                            <w:szCs w:val="16"/>
                          </w:rPr>
                          <w:fldChar w:fldCharType="separate"/>
                        </w:r>
                        <w:r w:rsidRPr="003101C1">
                          <w:rPr>
                            <w:rFonts w:asciiTheme="majorHAnsi" w:eastAsiaTheme="majorEastAsia" w:hAnsiTheme="majorHAnsi" w:cstheme="majorBidi"/>
                            <w:noProof/>
                            <w:color w:val="FFFFFF" w:themeColor="background1"/>
                            <w:sz w:val="48"/>
                            <w:szCs w:val="48"/>
                          </w:rPr>
                          <w:t>2</w:t>
                        </w:r>
                        <w:r w:rsidRPr="003101C1">
                          <w:rPr>
                            <w:rFonts w:asciiTheme="majorHAnsi" w:eastAsiaTheme="majorEastAsia" w:hAnsiTheme="majorHAnsi" w:cstheme="majorBidi"/>
                            <w:noProof/>
                            <w:color w:val="FFFFFF" w:themeColor="background1"/>
                            <w:sz w:val="48"/>
                            <w:szCs w:val="48"/>
                          </w:rPr>
                          <w:fldChar w:fldCharType="end"/>
                        </w:r>
                      </w:p>
                    </w:txbxContent>
                  </v:textbox>
                  <w10:anchorlock/>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BB1219" w14:textId="77777777" w:rsidR="00AC1497" w:rsidRDefault="00AC1497">
      <w:r>
        <w:separator/>
      </w:r>
    </w:p>
    <w:p w14:paraId="5BB20A6B" w14:textId="77777777" w:rsidR="00AC1497" w:rsidRDefault="00AC1497"/>
  </w:footnote>
  <w:footnote w:type="continuationSeparator" w:id="0">
    <w:p w14:paraId="269CF1ED" w14:textId="77777777" w:rsidR="00AC1497" w:rsidRDefault="00AC1497">
      <w:r>
        <w:continuationSeparator/>
      </w:r>
    </w:p>
    <w:p w14:paraId="6DF9D7E7" w14:textId="77777777" w:rsidR="00AC1497" w:rsidRDefault="00AC1497"/>
  </w:footnote>
  <w:footnote w:type="continuationNotice" w:id="1">
    <w:p w14:paraId="40B42315" w14:textId="77777777" w:rsidR="00AC1497" w:rsidRDefault="00AC14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76DA1" w14:textId="6DBE244C" w:rsidR="00A71BC6" w:rsidRDefault="00A71BC6" w:rsidP="007B1A83">
    <w:pPr>
      <w:pStyle w:val="Header"/>
      <w:pBdr>
        <w:bottom w:val="single" w:sz="2" w:space="1" w:color="0F0D29" w:themeColor="text1"/>
      </w:pBdr>
      <w:rPr>
        <w:b w:val="0"/>
        <w:bCs/>
        <w:sz w:val="20"/>
        <w:szCs w:val="16"/>
      </w:rPr>
    </w:pPr>
    <w:r w:rsidRPr="00A80250">
      <w:rPr>
        <w:b w:val="0"/>
        <w:bCs/>
        <w:sz w:val="20"/>
        <w:szCs w:val="16"/>
      </w:rPr>
      <w:t>CONTINUOUS MONITORING SYSTEMS COURSE</w:t>
    </w:r>
    <w:r>
      <w:rPr>
        <w:b w:val="0"/>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92C62"/>
    <w:multiLevelType w:val="hybridMultilevel"/>
    <w:tmpl w:val="2CD8A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6150B5"/>
    <w:multiLevelType w:val="hybridMultilevel"/>
    <w:tmpl w:val="2CD8A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218E9"/>
    <w:multiLevelType w:val="hybridMultilevel"/>
    <w:tmpl w:val="B9380C78"/>
    <w:lvl w:ilvl="0" w:tplc="B13855DC">
      <w:start w:val="1"/>
      <w:numFmt w:val="bullet"/>
      <w:lvlText w:val="•"/>
      <w:lvlJc w:val="left"/>
      <w:pPr>
        <w:tabs>
          <w:tab w:val="num" w:pos="720"/>
        </w:tabs>
        <w:ind w:left="720" w:hanging="360"/>
      </w:pPr>
      <w:rPr>
        <w:rFonts w:ascii="Arial" w:hAnsi="Arial" w:hint="default"/>
      </w:rPr>
    </w:lvl>
    <w:lvl w:ilvl="1" w:tplc="378E9254" w:tentative="1">
      <w:start w:val="1"/>
      <w:numFmt w:val="bullet"/>
      <w:lvlText w:val="•"/>
      <w:lvlJc w:val="left"/>
      <w:pPr>
        <w:tabs>
          <w:tab w:val="num" w:pos="1440"/>
        </w:tabs>
        <w:ind w:left="1440" w:hanging="360"/>
      </w:pPr>
      <w:rPr>
        <w:rFonts w:ascii="Arial" w:hAnsi="Arial" w:hint="default"/>
      </w:rPr>
    </w:lvl>
    <w:lvl w:ilvl="2" w:tplc="15B4EB7E" w:tentative="1">
      <w:start w:val="1"/>
      <w:numFmt w:val="bullet"/>
      <w:lvlText w:val="•"/>
      <w:lvlJc w:val="left"/>
      <w:pPr>
        <w:tabs>
          <w:tab w:val="num" w:pos="2160"/>
        </w:tabs>
        <w:ind w:left="2160" w:hanging="360"/>
      </w:pPr>
      <w:rPr>
        <w:rFonts w:ascii="Arial" w:hAnsi="Arial" w:hint="default"/>
      </w:rPr>
    </w:lvl>
    <w:lvl w:ilvl="3" w:tplc="F118CAF2" w:tentative="1">
      <w:start w:val="1"/>
      <w:numFmt w:val="bullet"/>
      <w:lvlText w:val="•"/>
      <w:lvlJc w:val="left"/>
      <w:pPr>
        <w:tabs>
          <w:tab w:val="num" w:pos="2880"/>
        </w:tabs>
        <w:ind w:left="2880" w:hanging="360"/>
      </w:pPr>
      <w:rPr>
        <w:rFonts w:ascii="Arial" w:hAnsi="Arial" w:hint="default"/>
      </w:rPr>
    </w:lvl>
    <w:lvl w:ilvl="4" w:tplc="46D847D0" w:tentative="1">
      <w:start w:val="1"/>
      <w:numFmt w:val="bullet"/>
      <w:lvlText w:val="•"/>
      <w:lvlJc w:val="left"/>
      <w:pPr>
        <w:tabs>
          <w:tab w:val="num" w:pos="3600"/>
        </w:tabs>
        <w:ind w:left="3600" w:hanging="360"/>
      </w:pPr>
      <w:rPr>
        <w:rFonts w:ascii="Arial" w:hAnsi="Arial" w:hint="default"/>
      </w:rPr>
    </w:lvl>
    <w:lvl w:ilvl="5" w:tplc="567E8018" w:tentative="1">
      <w:start w:val="1"/>
      <w:numFmt w:val="bullet"/>
      <w:lvlText w:val="•"/>
      <w:lvlJc w:val="left"/>
      <w:pPr>
        <w:tabs>
          <w:tab w:val="num" w:pos="4320"/>
        </w:tabs>
        <w:ind w:left="4320" w:hanging="360"/>
      </w:pPr>
      <w:rPr>
        <w:rFonts w:ascii="Arial" w:hAnsi="Arial" w:hint="default"/>
      </w:rPr>
    </w:lvl>
    <w:lvl w:ilvl="6" w:tplc="A9A834BE" w:tentative="1">
      <w:start w:val="1"/>
      <w:numFmt w:val="bullet"/>
      <w:lvlText w:val="•"/>
      <w:lvlJc w:val="left"/>
      <w:pPr>
        <w:tabs>
          <w:tab w:val="num" w:pos="5040"/>
        </w:tabs>
        <w:ind w:left="5040" w:hanging="360"/>
      </w:pPr>
      <w:rPr>
        <w:rFonts w:ascii="Arial" w:hAnsi="Arial" w:hint="default"/>
      </w:rPr>
    </w:lvl>
    <w:lvl w:ilvl="7" w:tplc="A7FE4FDA" w:tentative="1">
      <w:start w:val="1"/>
      <w:numFmt w:val="bullet"/>
      <w:lvlText w:val="•"/>
      <w:lvlJc w:val="left"/>
      <w:pPr>
        <w:tabs>
          <w:tab w:val="num" w:pos="5760"/>
        </w:tabs>
        <w:ind w:left="5760" w:hanging="360"/>
      </w:pPr>
      <w:rPr>
        <w:rFonts w:ascii="Arial" w:hAnsi="Arial" w:hint="default"/>
      </w:rPr>
    </w:lvl>
    <w:lvl w:ilvl="8" w:tplc="AF7484A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A666233"/>
    <w:multiLevelType w:val="hybridMultilevel"/>
    <w:tmpl w:val="2CD8A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BC1831"/>
    <w:multiLevelType w:val="hybridMultilevel"/>
    <w:tmpl w:val="C9844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0257CA"/>
    <w:multiLevelType w:val="hybridMultilevel"/>
    <w:tmpl w:val="7820DE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D2787B"/>
    <w:multiLevelType w:val="hybridMultilevel"/>
    <w:tmpl w:val="95A2D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2C48B1"/>
    <w:multiLevelType w:val="hybridMultilevel"/>
    <w:tmpl w:val="E82C9B5C"/>
    <w:lvl w:ilvl="0" w:tplc="8638808E">
      <w:start w:val="1"/>
      <w:numFmt w:val="bullet"/>
      <w:lvlText w:val="•"/>
      <w:lvlJc w:val="left"/>
      <w:pPr>
        <w:tabs>
          <w:tab w:val="num" w:pos="720"/>
        </w:tabs>
        <w:ind w:left="720" w:hanging="360"/>
      </w:pPr>
      <w:rPr>
        <w:rFonts w:ascii="Times New Roman" w:hAnsi="Times New Roman" w:hint="default"/>
      </w:rPr>
    </w:lvl>
    <w:lvl w:ilvl="1" w:tplc="35B01A86" w:tentative="1">
      <w:start w:val="1"/>
      <w:numFmt w:val="bullet"/>
      <w:lvlText w:val="•"/>
      <w:lvlJc w:val="left"/>
      <w:pPr>
        <w:tabs>
          <w:tab w:val="num" w:pos="1440"/>
        </w:tabs>
        <w:ind w:left="1440" w:hanging="360"/>
      </w:pPr>
      <w:rPr>
        <w:rFonts w:ascii="Times New Roman" w:hAnsi="Times New Roman" w:hint="default"/>
      </w:rPr>
    </w:lvl>
    <w:lvl w:ilvl="2" w:tplc="029EB228" w:tentative="1">
      <w:start w:val="1"/>
      <w:numFmt w:val="bullet"/>
      <w:lvlText w:val="•"/>
      <w:lvlJc w:val="left"/>
      <w:pPr>
        <w:tabs>
          <w:tab w:val="num" w:pos="2160"/>
        </w:tabs>
        <w:ind w:left="2160" w:hanging="360"/>
      </w:pPr>
      <w:rPr>
        <w:rFonts w:ascii="Times New Roman" w:hAnsi="Times New Roman" w:hint="default"/>
      </w:rPr>
    </w:lvl>
    <w:lvl w:ilvl="3" w:tplc="2982BE5C" w:tentative="1">
      <w:start w:val="1"/>
      <w:numFmt w:val="bullet"/>
      <w:lvlText w:val="•"/>
      <w:lvlJc w:val="left"/>
      <w:pPr>
        <w:tabs>
          <w:tab w:val="num" w:pos="2880"/>
        </w:tabs>
        <w:ind w:left="2880" w:hanging="360"/>
      </w:pPr>
      <w:rPr>
        <w:rFonts w:ascii="Times New Roman" w:hAnsi="Times New Roman" w:hint="default"/>
      </w:rPr>
    </w:lvl>
    <w:lvl w:ilvl="4" w:tplc="57745B1E" w:tentative="1">
      <w:start w:val="1"/>
      <w:numFmt w:val="bullet"/>
      <w:lvlText w:val="•"/>
      <w:lvlJc w:val="left"/>
      <w:pPr>
        <w:tabs>
          <w:tab w:val="num" w:pos="3600"/>
        </w:tabs>
        <w:ind w:left="3600" w:hanging="360"/>
      </w:pPr>
      <w:rPr>
        <w:rFonts w:ascii="Times New Roman" w:hAnsi="Times New Roman" w:hint="default"/>
      </w:rPr>
    </w:lvl>
    <w:lvl w:ilvl="5" w:tplc="F0547A16" w:tentative="1">
      <w:start w:val="1"/>
      <w:numFmt w:val="bullet"/>
      <w:lvlText w:val="•"/>
      <w:lvlJc w:val="left"/>
      <w:pPr>
        <w:tabs>
          <w:tab w:val="num" w:pos="4320"/>
        </w:tabs>
        <w:ind w:left="4320" w:hanging="360"/>
      </w:pPr>
      <w:rPr>
        <w:rFonts w:ascii="Times New Roman" w:hAnsi="Times New Roman" w:hint="default"/>
      </w:rPr>
    </w:lvl>
    <w:lvl w:ilvl="6" w:tplc="03809386" w:tentative="1">
      <w:start w:val="1"/>
      <w:numFmt w:val="bullet"/>
      <w:lvlText w:val="•"/>
      <w:lvlJc w:val="left"/>
      <w:pPr>
        <w:tabs>
          <w:tab w:val="num" w:pos="5040"/>
        </w:tabs>
        <w:ind w:left="5040" w:hanging="360"/>
      </w:pPr>
      <w:rPr>
        <w:rFonts w:ascii="Times New Roman" w:hAnsi="Times New Roman" w:hint="default"/>
      </w:rPr>
    </w:lvl>
    <w:lvl w:ilvl="7" w:tplc="23B653FE" w:tentative="1">
      <w:start w:val="1"/>
      <w:numFmt w:val="bullet"/>
      <w:lvlText w:val="•"/>
      <w:lvlJc w:val="left"/>
      <w:pPr>
        <w:tabs>
          <w:tab w:val="num" w:pos="5760"/>
        </w:tabs>
        <w:ind w:left="5760" w:hanging="360"/>
      </w:pPr>
      <w:rPr>
        <w:rFonts w:ascii="Times New Roman" w:hAnsi="Times New Roman" w:hint="default"/>
      </w:rPr>
    </w:lvl>
    <w:lvl w:ilvl="8" w:tplc="CF3CE27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7E2A744D"/>
    <w:multiLevelType w:val="hybridMultilevel"/>
    <w:tmpl w:val="E00A5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8065836">
    <w:abstractNumId w:val="5"/>
  </w:num>
  <w:num w:numId="2" w16cid:durableId="2031637691">
    <w:abstractNumId w:val="4"/>
  </w:num>
  <w:num w:numId="3" w16cid:durableId="1777406700">
    <w:abstractNumId w:val="1"/>
  </w:num>
  <w:num w:numId="4" w16cid:durableId="117574024">
    <w:abstractNumId w:val="8"/>
  </w:num>
  <w:num w:numId="5" w16cid:durableId="880869393">
    <w:abstractNumId w:val="3"/>
  </w:num>
  <w:num w:numId="6" w16cid:durableId="1950353848">
    <w:abstractNumId w:val="0"/>
  </w:num>
  <w:num w:numId="7" w16cid:durableId="1668746425">
    <w:abstractNumId w:val="6"/>
  </w:num>
  <w:num w:numId="8" w16cid:durableId="1011494603">
    <w:abstractNumId w:val="2"/>
  </w:num>
  <w:num w:numId="9" w16cid:durableId="17049849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EEE"/>
    <w:rsid w:val="000059E1"/>
    <w:rsid w:val="00017E78"/>
    <w:rsid w:val="0002482E"/>
    <w:rsid w:val="0002551B"/>
    <w:rsid w:val="00032EAB"/>
    <w:rsid w:val="000347EF"/>
    <w:rsid w:val="000371A9"/>
    <w:rsid w:val="000413F3"/>
    <w:rsid w:val="000425B8"/>
    <w:rsid w:val="000479AB"/>
    <w:rsid w:val="00050324"/>
    <w:rsid w:val="0005325F"/>
    <w:rsid w:val="00053D3E"/>
    <w:rsid w:val="000542B3"/>
    <w:rsid w:val="0006373F"/>
    <w:rsid w:val="00063EA1"/>
    <w:rsid w:val="0006440E"/>
    <w:rsid w:val="000700C9"/>
    <w:rsid w:val="00070839"/>
    <w:rsid w:val="000729DD"/>
    <w:rsid w:val="00077E69"/>
    <w:rsid w:val="000822AB"/>
    <w:rsid w:val="000868B2"/>
    <w:rsid w:val="000874F7"/>
    <w:rsid w:val="00087A59"/>
    <w:rsid w:val="00091615"/>
    <w:rsid w:val="00091F42"/>
    <w:rsid w:val="00096617"/>
    <w:rsid w:val="000976FE"/>
    <w:rsid w:val="000A0150"/>
    <w:rsid w:val="000A0609"/>
    <w:rsid w:val="000A1C9F"/>
    <w:rsid w:val="000A6FDD"/>
    <w:rsid w:val="000B064E"/>
    <w:rsid w:val="000B34F7"/>
    <w:rsid w:val="000B5A90"/>
    <w:rsid w:val="000C5DEC"/>
    <w:rsid w:val="000C7C24"/>
    <w:rsid w:val="000D0422"/>
    <w:rsid w:val="000D1C03"/>
    <w:rsid w:val="000D2292"/>
    <w:rsid w:val="000D2C98"/>
    <w:rsid w:val="000D4EB6"/>
    <w:rsid w:val="000D6550"/>
    <w:rsid w:val="000D7417"/>
    <w:rsid w:val="000E394A"/>
    <w:rsid w:val="000E4210"/>
    <w:rsid w:val="000E4CD2"/>
    <w:rsid w:val="000E594F"/>
    <w:rsid w:val="000E63C9"/>
    <w:rsid w:val="000F0B24"/>
    <w:rsid w:val="000F132B"/>
    <w:rsid w:val="000F1CEB"/>
    <w:rsid w:val="000F4042"/>
    <w:rsid w:val="000F4F41"/>
    <w:rsid w:val="000F6B81"/>
    <w:rsid w:val="0010037B"/>
    <w:rsid w:val="001024EE"/>
    <w:rsid w:val="00106705"/>
    <w:rsid w:val="001206C5"/>
    <w:rsid w:val="0012115D"/>
    <w:rsid w:val="00122C72"/>
    <w:rsid w:val="00122D69"/>
    <w:rsid w:val="00123E6B"/>
    <w:rsid w:val="00125F8E"/>
    <w:rsid w:val="00130E9D"/>
    <w:rsid w:val="00134060"/>
    <w:rsid w:val="00142EEE"/>
    <w:rsid w:val="00144D24"/>
    <w:rsid w:val="00150A6D"/>
    <w:rsid w:val="00150F7A"/>
    <w:rsid w:val="00155F6D"/>
    <w:rsid w:val="00156E6D"/>
    <w:rsid w:val="00162262"/>
    <w:rsid w:val="001634CF"/>
    <w:rsid w:val="0016413B"/>
    <w:rsid w:val="00166942"/>
    <w:rsid w:val="00175A44"/>
    <w:rsid w:val="00177339"/>
    <w:rsid w:val="00177DE6"/>
    <w:rsid w:val="00185B35"/>
    <w:rsid w:val="00191031"/>
    <w:rsid w:val="001965B7"/>
    <w:rsid w:val="001A04BD"/>
    <w:rsid w:val="001A2592"/>
    <w:rsid w:val="001A3712"/>
    <w:rsid w:val="001A4383"/>
    <w:rsid w:val="001A6DC2"/>
    <w:rsid w:val="001A776B"/>
    <w:rsid w:val="001B0143"/>
    <w:rsid w:val="001B5419"/>
    <w:rsid w:val="001C138B"/>
    <w:rsid w:val="001C54F3"/>
    <w:rsid w:val="001D0989"/>
    <w:rsid w:val="001D38F9"/>
    <w:rsid w:val="001E0FDD"/>
    <w:rsid w:val="001E3307"/>
    <w:rsid w:val="001E501F"/>
    <w:rsid w:val="001F0D26"/>
    <w:rsid w:val="001F2BC8"/>
    <w:rsid w:val="001F2EE4"/>
    <w:rsid w:val="001F3D8E"/>
    <w:rsid w:val="001F4599"/>
    <w:rsid w:val="001F5F6B"/>
    <w:rsid w:val="001F7D00"/>
    <w:rsid w:val="00221628"/>
    <w:rsid w:val="00222495"/>
    <w:rsid w:val="002320C2"/>
    <w:rsid w:val="002333A3"/>
    <w:rsid w:val="0023484B"/>
    <w:rsid w:val="00234ABC"/>
    <w:rsid w:val="00234EFE"/>
    <w:rsid w:val="00235224"/>
    <w:rsid w:val="002377AE"/>
    <w:rsid w:val="00240E5A"/>
    <w:rsid w:val="00241FCB"/>
    <w:rsid w:val="00243EBC"/>
    <w:rsid w:val="002442C3"/>
    <w:rsid w:val="0024547F"/>
    <w:rsid w:val="0024557C"/>
    <w:rsid w:val="00246A35"/>
    <w:rsid w:val="002539E4"/>
    <w:rsid w:val="0026023E"/>
    <w:rsid w:val="0026236D"/>
    <w:rsid w:val="002636F4"/>
    <w:rsid w:val="002638F9"/>
    <w:rsid w:val="0026714E"/>
    <w:rsid w:val="00267216"/>
    <w:rsid w:val="00270016"/>
    <w:rsid w:val="0028113D"/>
    <w:rsid w:val="00282D1C"/>
    <w:rsid w:val="00284348"/>
    <w:rsid w:val="00287843"/>
    <w:rsid w:val="0029006E"/>
    <w:rsid w:val="00290B26"/>
    <w:rsid w:val="00290F8B"/>
    <w:rsid w:val="00291DB0"/>
    <w:rsid w:val="002A0F56"/>
    <w:rsid w:val="002A4AAA"/>
    <w:rsid w:val="002A6449"/>
    <w:rsid w:val="002A7CD6"/>
    <w:rsid w:val="002B0D36"/>
    <w:rsid w:val="002B188C"/>
    <w:rsid w:val="002B40F5"/>
    <w:rsid w:val="002B5AAC"/>
    <w:rsid w:val="002C0D35"/>
    <w:rsid w:val="002C1287"/>
    <w:rsid w:val="002C4AAA"/>
    <w:rsid w:val="002D15C0"/>
    <w:rsid w:val="002D2B06"/>
    <w:rsid w:val="002D357C"/>
    <w:rsid w:val="002D4D98"/>
    <w:rsid w:val="002D504E"/>
    <w:rsid w:val="002D7824"/>
    <w:rsid w:val="002D7F41"/>
    <w:rsid w:val="002E1137"/>
    <w:rsid w:val="002F027E"/>
    <w:rsid w:val="002F0CE0"/>
    <w:rsid w:val="002F1BED"/>
    <w:rsid w:val="002F3233"/>
    <w:rsid w:val="002F3639"/>
    <w:rsid w:val="002F51F5"/>
    <w:rsid w:val="002F543B"/>
    <w:rsid w:val="003045D4"/>
    <w:rsid w:val="00312137"/>
    <w:rsid w:val="003129D0"/>
    <w:rsid w:val="00315DD1"/>
    <w:rsid w:val="00316F5A"/>
    <w:rsid w:val="00320E8F"/>
    <w:rsid w:val="00321B33"/>
    <w:rsid w:val="003302BC"/>
    <w:rsid w:val="00330359"/>
    <w:rsid w:val="00333949"/>
    <w:rsid w:val="003364F9"/>
    <w:rsid w:val="0033762F"/>
    <w:rsid w:val="003401B2"/>
    <w:rsid w:val="00346B33"/>
    <w:rsid w:val="003516C9"/>
    <w:rsid w:val="00352678"/>
    <w:rsid w:val="0035537C"/>
    <w:rsid w:val="00361D97"/>
    <w:rsid w:val="00364135"/>
    <w:rsid w:val="003648CA"/>
    <w:rsid w:val="00366C7E"/>
    <w:rsid w:val="003676A6"/>
    <w:rsid w:val="00367C06"/>
    <w:rsid w:val="00367C64"/>
    <w:rsid w:val="0038307E"/>
    <w:rsid w:val="00384EA3"/>
    <w:rsid w:val="0039263B"/>
    <w:rsid w:val="00393B64"/>
    <w:rsid w:val="0039488E"/>
    <w:rsid w:val="003A00FD"/>
    <w:rsid w:val="003A1255"/>
    <w:rsid w:val="003A1615"/>
    <w:rsid w:val="003A162C"/>
    <w:rsid w:val="003A262B"/>
    <w:rsid w:val="003A37FE"/>
    <w:rsid w:val="003A39A1"/>
    <w:rsid w:val="003A4E76"/>
    <w:rsid w:val="003A5482"/>
    <w:rsid w:val="003A5762"/>
    <w:rsid w:val="003A7EC5"/>
    <w:rsid w:val="003B7DA6"/>
    <w:rsid w:val="003C0EDA"/>
    <w:rsid w:val="003C2191"/>
    <w:rsid w:val="003C387C"/>
    <w:rsid w:val="003D10A7"/>
    <w:rsid w:val="003D2E72"/>
    <w:rsid w:val="003D3863"/>
    <w:rsid w:val="003D396E"/>
    <w:rsid w:val="003D7E7F"/>
    <w:rsid w:val="003E0214"/>
    <w:rsid w:val="003E155E"/>
    <w:rsid w:val="003E1C7D"/>
    <w:rsid w:val="003E4313"/>
    <w:rsid w:val="003E7FA6"/>
    <w:rsid w:val="003F4164"/>
    <w:rsid w:val="00400F5E"/>
    <w:rsid w:val="00402297"/>
    <w:rsid w:val="00402C3F"/>
    <w:rsid w:val="00403F35"/>
    <w:rsid w:val="004105D8"/>
    <w:rsid w:val="00410F7D"/>
    <w:rsid w:val="004110DE"/>
    <w:rsid w:val="00415069"/>
    <w:rsid w:val="00415A18"/>
    <w:rsid w:val="004163FE"/>
    <w:rsid w:val="00422529"/>
    <w:rsid w:val="004226AA"/>
    <w:rsid w:val="004254E6"/>
    <w:rsid w:val="00430EB4"/>
    <w:rsid w:val="00432EFF"/>
    <w:rsid w:val="004335CA"/>
    <w:rsid w:val="004337AB"/>
    <w:rsid w:val="0044085A"/>
    <w:rsid w:val="00440C8C"/>
    <w:rsid w:val="00444A98"/>
    <w:rsid w:val="00452588"/>
    <w:rsid w:val="0045396C"/>
    <w:rsid w:val="0045497A"/>
    <w:rsid w:val="00456A9F"/>
    <w:rsid w:val="00460F8B"/>
    <w:rsid w:val="00463A00"/>
    <w:rsid w:val="00464451"/>
    <w:rsid w:val="004652CD"/>
    <w:rsid w:val="00467823"/>
    <w:rsid w:val="004701AB"/>
    <w:rsid w:val="0047767C"/>
    <w:rsid w:val="00481214"/>
    <w:rsid w:val="00483523"/>
    <w:rsid w:val="004975B2"/>
    <w:rsid w:val="004B1813"/>
    <w:rsid w:val="004B21A5"/>
    <w:rsid w:val="004B5C5A"/>
    <w:rsid w:val="004B65FA"/>
    <w:rsid w:val="004C1AA9"/>
    <w:rsid w:val="004C4621"/>
    <w:rsid w:val="004C5B6A"/>
    <w:rsid w:val="004D3117"/>
    <w:rsid w:val="004D6F33"/>
    <w:rsid w:val="004D6F92"/>
    <w:rsid w:val="004D731D"/>
    <w:rsid w:val="004E0500"/>
    <w:rsid w:val="004E4C9F"/>
    <w:rsid w:val="004E5343"/>
    <w:rsid w:val="004E5840"/>
    <w:rsid w:val="004F5EE1"/>
    <w:rsid w:val="004F6967"/>
    <w:rsid w:val="004F782E"/>
    <w:rsid w:val="00501B2E"/>
    <w:rsid w:val="005027F3"/>
    <w:rsid w:val="005037F0"/>
    <w:rsid w:val="0050445C"/>
    <w:rsid w:val="0050562B"/>
    <w:rsid w:val="00516A86"/>
    <w:rsid w:val="00516BCD"/>
    <w:rsid w:val="00520061"/>
    <w:rsid w:val="005243BC"/>
    <w:rsid w:val="00524416"/>
    <w:rsid w:val="00525DA9"/>
    <w:rsid w:val="005275F6"/>
    <w:rsid w:val="005335A6"/>
    <w:rsid w:val="00540504"/>
    <w:rsid w:val="00540DF9"/>
    <w:rsid w:val="005412CD"/>
    <w:rsid w:val="00543946"/>
    <w:rsid w:val="00546B07"/>
    <w:rsid w:val="00551988"/>
    <w:rsid w:val="005614CB"/>
    <w:rsid w:val="005638AA"/>
    <w:rsid w:val="00567A53"/>
    <w:rsid w:val="005705C6"/>
    <w:rsid w:val="005711FE"/>
    <w:rsid w:val="00572102"/>
    <w:rsid w:val="0057233A"/>
    <w:rsid w:val="00573681"/>
    <w:rsid w:val="00573C40"/>
    <w:rsid w:val="005743D3"/>
    <w:rsid w:val="00576989"/>
    <w:rsid w:val="00576B5C"/>
    <w:rsid w:val="00581889"/>
    <w:rsid w:val="005831AF"/>
    <w:rsid w:val="0058503C"/>
    <w:rsid w:val="005928AC"/>
    <w:rsid w:val="005930EE"/>
    <w:rsid w:val="005933C4"/>
    <w:rsid w:val="005A09CA"/>
    <w:rsid w:val="005A0E02"/>
    <w:rsid w:val="005A1832"/>
    <w:rsid w:val="005A1D5A"/>
    <w:rsid w:val="005A2FB7"/>
    <w:rsid w:val="005A4B09"/>
    <w:rsid w:val="005B1C70"/>
    <w:rsid w:val="005B6958"/>
    <w:rsid w:val="005B69D8"/>
    <w:rsid w:val="005C0FEE"/>
    <w:rsid w:val="005C12F0"/>
    <w:rsid w:val="005C2BD6"/>
    <w:rsid w:val="005C3A9D"/>
    <w:rsid w:val="005D45E9"/>
    <w:rsid w:val="005D5D44"/>
    <w:rsid w:val="005E1DDA"/>
    <w:rsid w:val="005E3525"/>
    <w:rsid w:val="005E3B0E"/>
    <w:rsid w:val="005F1BB0"/>
    <w:rsid w:val="005F3311"/>
    <w:rsid w:val="005F3B54"/>
    <w:rsid w:val="005F3D7B"/>
    <w:rsid w:val="005F5723"/>
    <w:rsid w:val="006015DE"/>
    <w:rsid w:val="00601A63"/>
    <w:rsid w:val="00602ADE"/>
    <w:rsid w:val="00603BAE"/>
    <w:rsid w:val="0060488B"/>
    <w:rsid w:val="00607BF1"/>
    <w:rsid w:val="00611B4C"/>
    <w:rsid w:val="00616460"/>
    <w:rsid w:val="00616E92"/>
    <w:rsid w:val="0062041C"/>
    <w:rsid w:val="00620D39"/>
    <w:rsid w:val="00625AE0"/>
    <w:rsid w:val="00627231"/>
    <w:rsid w:val="00630CA9"/>
    <w:rsid w:val="00634B3D"/>
    <w:rsid w:val="00644900"/>
    <w:rsid w:val="0064580E"/>
    <w:rsid w:val="00645FE9"/>
    <w:rsid w:val="00646E34"/>
    <w:rsid w:val="00656C4D"/>
    <w:rsid w:val="006606A9"/>
    <w:rsid w:val="00660CD8"/>
    <w:rsid w:val="00664D06"/>
    <w:rsid w:val="00667334"/>
    <w:rsid w:val="00667818"/>
    <w:rsid w:val="006743DF"/>
    <w:rsid w:val="00676951"/>
    <w:rsid w:val="00676D7D"/>
    <w:rsid w:val="00680D42"/>
    <w:rsid w:val="006844A4"/>
    <w:rsid w:val="00685E8F"/>
    <w:rsid w:val="006A39F4"/>
    <w:rsid w:val="006A4023"/>
    <w:rsid w:val="006A7D5B"/>
    <w:rsid w:val="006B0568"/>
    <w:rsid w:val="006B4412"/>
    <w:rsid w:val="006C1E27"/>
    <w:rsid w:val="006C4995"/>
    <w:rsid w:val="006C4C3C"/>
    <w:rsid w:val="006D207C"/>
    <w:rsid w:val="006D3BF2"/>
    <w:rsid w:val="006D3FC5"/>
    <w:rsid w:val="006D690A"/>
    <w:rsid w:val="006D6DDC"/>
    <w:rsid w:val="006D75E9"/>
    <w:rsid w:val="006E5716"/>
    <w:rsid w:val="006E5A48"/>
    <w:rsid w:val="006E6301"/>
    <w:rsid w:val="006E7155"/>
    <w:rsid w:val="006E7823"/>
    <w:rsid w:val="006F72E3"/>
    <w:rsid w:val="0070015A"/>
    <w:rsid w:val="00701A4E"/>
    <w:rsid w:val="00703F0D"/>
    <w:rsid w:val="00715D52"/>
    <w:rsid w:val="00716488"/>
    <w:rsid w:val="00716570"/>
    <w:rsid w:val="00716850"/>
    <w:rsid w:val="00716EF0"/>
    <w:rsid w:val="00717363"/>
    <w:rsid w:val="00721136"/>
    <w:rsid w:val="007266A6"/>
    <w:rsid w:val="00726A26"/>
    <w:rsid w:val="00727784"/>
    <w:rsid w:val="007302B3"/>
    <w:rsid w:val="00730733"/>
    <w:rsid w:val="00730E3A"/>
    <w:rsid w:val="007317BF"/>
    <w:rsid w:val="0073501D"/>
    <w:rsid w:val="007353D8"/>
    <w:rsid w:val="007355CC"/>
    <w:rsid w:val="00736AAF"/>
    <w:rsid w:val="007402B3"/>
    <w:rsid w:val="00745EA4"/>
    <w:rsid w:val="00746D14"/>
    <w:rsid w:val="007476DD"/>
    <w:rsid w:val="00751B50"/>
    <w:rsid w:val="00752870"/>
    <w:rsid w:val="007540FB"/>
    <w:rsid w:val="00762938"/>
    <w:rsid w:val="00765B2A"/>
    <w:rsid w:val="007662EE"/>
    <w:rsid w:val="007718CC"/>
    <w:rsid w:val="0077332B"/>
    <w:rsid w:val="007740F0"/>
    <w:rsid w:val="00774E88"/>
    <w:rsid w:val="00775895"/>
    <w:rsid w:val="00775A6E"/>
    <w:rsid w:val="00776EF0"/>
    <w:rsid w:val="00783A34"/>
    <w:rsid w:val="0079406E"/>
    <w:rsid w:val="00796628"/>
    <w:rsid w:val="007A2B0D"/>
    <w:rsid w:val="007A3F2C"/>
    <w:rsid w:val="007A43C5"/>
    <w:rsid w:val="007A5907"/>
    <w:rsid w:val="007A684C"/>
    <w:rsid w:val="007B08D4"/>
    <w:rsid w:val="007B1A83"/>
    <w:rsid w:val="007B7E74"/>
    <w:rsid w:val="007C346C"/>
    <w:rsid w:val="007C5020"/>
    <w:rsid w:val="007C5516"/>
    <w:rsid w:val="007C6B52"/>
    <w:rsid w:val="007D16C5"/>
    <w:rsid w:val="007D2C4D"/>
    <w:rsid w:val="007D4B9F"/>
    <w:rsid w:val="007D7521"/>
    <w:rsid w:val="007E02EC"/>
    <w:rsid w:val="007E078D"/>
    <w:rsid w:val="007E24AD"/>
    <w:rsid w:val="007E48D0"/>
    <w:rsid w:val="007F15C6"/>
    <w:rsid w:val="00800410"/>
    <w:rsid w:val="00801323"/>
    <w:rsid w:val="008138C0"/>
    <w:rsid w:val="00817736"/>
    <w:rsid w:val="008206E8"/>
    <w:rsid w:val="00821DE0"/>
    <w:rsid w:val="00824113"/>
    <w:rsid w:val="0083206E"/>
    <w:rsid w:val="0083726F"/>
    <w:rsid w:val="008428D8"/>
    <w:rsid w:val="008434A4"/>
    <w:rsid w:val="00843566"/>
    <w:rsid w:val="008436AC"/>
    <w:rsid w:val="00843946"/>
    <w:rsid w:val="008459CF"/>
    <w:rsid w:val="00847000"/>
    <w:rsid w:val="00851A85"/>
    <w:rsid w:val="0085387D"/>
    <w:rsid w:val="0085607D"/>
    <w:rsid w:val="00857B5B"/>
    <w:rsid w:val="00862FE4"/>
    <w:rsid w:val="0086389A"/>
    <w:rsid w:val="00865029"/>
    <w:rsid w:val="00871147"/>
    <w:rsid w:val="008719E0"/>
    <w:rsid w:val="00874B9B"/>
    <w:rsid w:val="0087510C"/>
    <w:rsid w:val="0087605E"/>
    <w:rsid w:val="00876207"/>
    <w:rsid w:val="00884038"/>
    <w:rsid w:val="008850B7"/>
    <w:rsid w:val="00885175"/>
    <w:rsid w:val="00885827"/>
    <w:rsid w:val="0088613F"/>
    <w:rsid w:val="0088615A"/>
    <w:rsid w:val="00886EAE"/>
    <w:rsid w:val="008908F4"/>
    <w:rsid w:val="00891833"/>
    <w:rsid w:val="00891F3F"/>
    <w:rsid w:val="00894AE8"/>
    <w:rsid w:val="008A2BC2"/>
    <w:rsid w:val="008A40ED"/>
    <w:rsid w:val="008A5436"/>
    <w:rsid w:val="008A5D63"/>
    <w:rsid w:val="008A6D9E"/>
    <w:rsid w:val="008B0186"/>
    <w:rsid w:val="008B1181"/>
    <w:rsid w:val="008B1FEE"/>
    <w:rsid w:val="008B2B6A"/>
    <w:rsid w:val="008B5CA8"/>
    <w:rsid w:val="008B6230"/>
    <w:rsid w:val="008B67E8"/>
    <w:rsid w:val="008C0188"/>
    <w:rsid w:val="008C0B34"/>
    <w:rsid w:val="008C179A"/>
    <w:rsid w:val="008C77DD"/>
    <w:rsid w:val="008D32B2"/>
    <w:rsid w:val="008E1895"/>
    <w:rsid w:val="008E22CA"/>
    <w:rsid w:val="008E3D62"/>
    <w:rsid w:val="008E463D"/>
    <w:rsid w:val="008F2737"/>
    <w:rsid w:val="00902ABD"/>
    <w:rsid w:val="00903C32"/>
    <w:rsid w:val="00905B91"/>
    <w:rsid w:val="009069E1"/>
    <w:rsid w:val="00907FC5"/>
    <w:rsid w:val="00910086"/>
    <w:rsid w:val="009100E4"/>
    <w:rsid w:val="009126CD"/>
    <w:rsid w:val="00913425"/>
    <w:rsid w:val="00915C2D"/>
    <w:rsid w:val="00915F85"/>
    <w:rsid w:val="00916B16"/>
    <w:rsid w:val="009173B9"/>
    <w:rsid w:val="00917A7F"/>
    <w:rsid w:val="00920662"/>
    <w:rsid w:val="0092261F"/>
    <w:rsid w:val="00923AC0"/>
    <w:rsid w:val="0092468E"/>
    <w:rsid w:val="00926B84"/>
    <w:rsid w:val="00927D0D"/>
    <w:rsid w:val="00931080"/>
    <w:rsid w:val="0093335D"/>
    <w:rsid w:val="0093613E"/>
    <w:rsid w:val="0093753D"/>
    <w:rsid w:val="00943002"/>
    <w:rsid w:val="00943026"/>
    <w:rsid w:val="0094405D"/>
    <w:rsid w:val="00944D9E"/>
    <w:rsid w:val="009510AF"/>
    <w:rsid w:val="00953E92"/>
    <w:rsid w:val="00955B28"/>
    <w:rsid w:val="00960CE1"/>
    <w:rsid w:val="00964217"/>
    <w:rsid w:val="00966497"/>
    <w:rsid w:val="00966B81"/>
    <w:rsid w:val="00966CB7"/>
    <w:rsid w:val="00971D1F"/>
    <w:rsid w:val="00974996"/>
    <w:rsid w:val="00976020"/>
    <w:rsid w:val="00980D4D"/>
    <w:rsid w:val="009847AA"/>
    <w:rsid w:val="00984BA4"/>
    <w:rsid w:val="00987075"/>
    <w:rsid w:val="009870F3"/>
    <w:rsid w:val="00987FAE"/>
    <w:rsid w:val="009A18A9"/>
    <w:rsid w:val="009A1BD3"/>
    <w:rsid w:val="009A235E"/>
    <w:rsid w:val="009A24AF"/>
    <w:rsid w:val="009A4B7C"/>
    <w:rsid w:val="009B096A"/>
    <w:rsid w:val="009B39F9"/>
    <w:rsid w:val="009C1894"/>
    <w:rsid w:val="009C338D"/>
    <w:rsid w:val="009C390D"/>
    <w:rsid w:val="009C7720"/>
    <w:rsid w:val="009E6420"/>
    <w:rsid w:val="009F28A9"/>
    <w:rsid w:val="009F3506"/>
    <w:rsid w:val="009F5396"/>
    <w:rsid w:val="00A02B6C"/>
    <w:rsid w:val="00A036B5"/>
    <w:rsid w:val="00A03B2E"/>
    <w:rsid w:val="00A2179F"/>
    <w:rsid w:val="00A23A9B"/>
    <w:rsid w:val="00A23AFA"/>
    <w:rsid w:val="00A307BD"/>
    <w:rsid w:val="00A30BF5"/>
    <w:rsid w:val="00A31B3E"/>
    <w:rsid w:val="00A42814"/>
    <w:rsid w:val="00A44330"/>
    <w:rsid w:val="00A46EC2"/>
    <w:rsid w:val="00A46F03"/>
    <w:rsid w:val="00A51198"/>
    <w:rsid w:val="00A51D05"/>
    <w:rsid w:val="00A532F3"/>
    <w:rsid w:val="00A54071"/>
    <w:rsid w:val="00A56C4A"/>
    <w:rsid w:val="00A602A5"/>
    <w:rsid w:val="00A624A7"/>
    <w:rsid w:val="00A639AA"/>
    <w:rsid w:val="00A63DAE"/>
    <w:rsid w:val="00A66028"/>
    <w:rsid w:val="00A71BC6"/>
    <w:rsid w:val="00A748C1"/>
    <w:rsid w:val="00A74BF6"/>
    <w:rsid w:val="00A76EA1"/>
    <w:rsid w:val="00A80250"/>
    <w:rsid w:val="00A80283"/>
    <w:rsid w:val="00A82A2D"/>
    <w:rsid w:val="00A8489E"/>
    <w:rsid w:val="00A91B15"/>
    <w:rsid w:val="00A92C98"/>
    <w:rsid w:val="00AA08BD"/>
    <w:rsid w:val="00AA11A4"/>
    <w:rsid w:val="00AA3262"/>
    <w:rsid w:val="00AA634D"/>
    <w:rsid w:val="00AB114F"/>
    <w:rsid w:val="00AB4722"/>
    <w:rsid w:val="00AB4CA8"/>
    <w:rsid w:val="00AC1497"/>
    <w:rsid w:val="00AC29F3"/>
    <w:rsid w:val="00AC5F37"/>
    <w:rsid w:val="00AC77C7"/>
    <w:rsid w:val="00AC78D5"/>
    <w:rsid w:val="00AD002E"/>
    <w:rsid w:val="00AD0CAD"/>
    <w:rsid w:val="00AD4253"/>
    <w:rsid w:val="00AD7502"/>
    <w:rsid w:val="00AD7A54"/>
    <w:rsid w:val="00AE6E89"/>
    <w:rsid w:val="00AE6EFA"/>
    <w:rsid w:val="00AF403C"/>
    <w:rsid w:val="00AF4C6A"/>
    <w:rsid w:val="00AF591F"/>
    <w:rsid w:val="00AF5D73"/>
    <w:rsid w:val="00AF6859"/>
    <w:rsid w:val="00AF746E"/>
    <w:rsid w:val="00B02ADA"/>
    <w:rsid w:val="00B04A53"/>
    <w:rsid w:val="00B05C1C"/>
    <w:rsid w:val="00B112CF"/>
    <w:rsid w:val="00B2104E"/>
    <w:rsid w:val="00B231E5"/>
    <w:rsid w:val="00B232A8"/>
    <w:rsid w:val="00B2540B"/>
    <w:rsid w:val="00B34AF7"/>
    <w:rsid w:val="00B36DAF"/>
    <w:rsid w:val="00B51A9B"/>
    <w:rsid w:val="00B53D01"/>
    <w:rsid w:val="00B57CC7"/>
    <w:rsid w:val="00B61C06"/>
    <w:rsid w:val="00B633C3"/>
    <w:rsid w:val="00B71095"/>
    <w:rsid w:val="00B71C49"/>
    <w:rsid w:val="00B73BFB"/>
    <w:rsid w:val="00B73D70"/>
    <w:rsid w:val="00B749D3"/>
    <w:rsid w:val="00B75912"/>
    <w:rsid w:val="00B75AB9"/>
    <w:rsid w:val="00B76CAA"/>
    <w:rsid w:val="00B81C00"/>
    <w:rsid w:val="00B830B0"/>
    <w:rsid w:val="00B831A9"/>
    <w:rsid w:val="00B8321D"/>
    <w:rsid w:val="00B84173"/>
    <w:rsid w:val="00B93847"/>
    <w:rsid w:val="00B9395B"/>
    <w:rsid w:val="00BA2BBE"/>
    <w:rsid w:val="00BA35BF"/>
    <w:rsid w:val="00BA377F"/>
    <w:rsid w:val="00BA39D0"/>
    <w:rsid w:val="00BA51DA"/>
    <w:rsid w:val="00BA64FA"/>
    <w:rsid w:val="00BB209A"/>
    <w:rsid w:val="00BB6081"/>
    <w:rsid w:val="00BB640F"/>
    <w:rsid w:val="00BC033A"/>
    <w:rsid w:val="00BC0FB5"/>
    <w:rsid w:val="00BD07AC"/>
    <w:rsid w:val="00BD0A14"/>
    <w:rsid w:val="00BD0C52"/>
    <w:rsid w:val="00BD31EB"/>
    <w:rsid w:val="00BD39C3"/>
    <w:rsid w:val="00BD55C9"/>
    <w:rsid w:val="00BE2546"/>
    <w:rsid w:val="00BE3472"/>
    <w:rsid w:val="00BE65E9"/>
    <w:rsid w:val="00BE75A4"/>
    <w:rsid w:val="00BE7C76"/>
    <w:rsid w:val="00BF092E"/>
    <w:rsid w:val="00BF102B"/>
    <w:rsid w:val="00BF2B94"/>
    <w:rsid w:val="00BF51DE"/>
    <w:rsid w:val="00BF5515"/>
    <w:rsid w:val="00BF713A"/>
    <w:rsid w:val="00BF7D16"/>
    <w:rsid w:val="00C00E42"/>
    <w:rsid w:val="00C00EDE"/>
    <w:rsid w:val="00C02B87"/>
    <w:rsid w:val="00C065D4"/>
    <w:rsid w:val="00C10274"/>
    <w:rsid w:val="00C10A28"/>
    <w:rsid w:val="00C1299F"/>
    <w:rsid w:val="00C1562A"/>
    <w:rsid w:val="00C20D8D"/>
    <w:rsid w:val="00C2177F"/>
    <w:rsid w:val="00C21ACE"/>
    <w:rsid w:val="00C2282D"/>
    <w:rsid w:val="00C2767E"/>
    <w:rsid w:val="00C32397"/>
    <w:rsid w:val="00C32736"/>
    <w:rsid w:val="00C32802"/>
    <w:rsid w:val="00C3665F"/>
    <w:rsid w:val="00C37652"/>
    <w:rsid w:val="00C404D3"/>
    <w:rsid w:val="00C4086D"/>
    <w:rsid w:val="00C415B3"/>
    <w:rsid w:val="00C42D6B"/>
    <w:rsid w:val="00C459B7"/>
    <w:rsid w:val="00C46F05"/>
    <w:rsid w:val="00C5259E"/>
    <w:rsid w:val="00C533BC"/>
    <w:rsid w:val="00C55370"/>
    <w:rsid w:val="00C60825"/>
    <w:rsid w:val="00C61F9C"/>
    <w:rsid w:val="00C65B6A"/>
    <w:rsid w:val="00C663E0"/>
    <w:rsid w:val="00C670DC"/>
    <w:rsid w:val="00C67D62"/>
    <w:rsid w:val="00C728E1"/>
    <w:rsid w:val="00C729C3"/>
    <w:rsid w:val="00C926F3"/>
    <w:rsid w:val="00C95569"/>
    <w:rsid w:val="00C97366"/>
    <w:rsid w:val="00CA1896"/>
    <w:rsid w:val="00CA50C6"/>
    <w:rsid w:val="00CA5E39"/>
    <w:rsid w:val="00CA7158"/>
    <w:rsid w:val="00CB0A47"/>
    <w:rsid w:val="00CB148E"/>
    <w:rsid w:val="00CB1E9F"/>
    <w:rsid w:val="00CB5144"/>
    <w:rsid w:val="00CB5B28"/>
    <w:rsid w:val="00CC007B"/>
    <w:rsid w:val="00CC1C06"/>
    <w:rsid w:val="00CC3391"/>
    <w:rsid w:val="00CC404C"/>
    <w:rsid w:val="00CC5A28"/>
    <w:rsid w:val="00CC6A78"/>
    <w:rsid w:val="00CD216F"/>
    <w:rsid w:val="00CD33A6"/>
    <w:rsid w:val="00CE1D76"/>
    <w:rsid w:val="00CE2444"/>
    <w:rsid w:val="00CE2BB4"/>
    <w:rsid w:val="00CE45D4"/>
    <w:rsid w:val="00CE4F44"/>
    <w:rsid w:val="00CE6CC7"/>
    <w:rsid w:val="00CF1A0E"/>
    <w:rsid w:val="00CF5371"/>
    <w:rsid w:val="00D0071E"/>
    <w:rsid w:val="00D0323A"/>
    <w:rsid w:val="00D0559F"/>
    <w:rsid w:val="00D06F07"/>
    <w:rsid w:val="00D077E9"/>
    <w:rsid w:val="00D07AEF"/>
    <w:rsid w:val="00D13564"/>
    <w:rsid w:val="00D153D6"/>
    <w:rsid w:val="00D16912"/>
    <w:rsid w:val="00D17EB0"/>
    <w:rsid w:val="00D224AB"/>
    <w:rsid w:val="00D25D9C"/>
    <w:rsid w:val="00D26019"/>
    <w:rsid w:val="00D26250"/>
    <w:rsid w:val="00D26FAC"/>
    <w:rsid w:val="00D27A23"/>
    <w:rsid w:val="00D27B2D"/>
    <w:rsid w:val="00D31998"/>
    <w:rsid w:val="00D42CB7"/>
    <w:rsid w:val="00D432E6"/>
    <w:rsid w:val="00D446F3"/>
    <w:rsid w:val="00D47CBB"/>
    <w:rsid w:val="00D527B5"/>
    <w:rsid w:val="00D5413D"/>
    <w:rsid w:val="00D54338"/>
    <w:rsid w:val="00D5616F"/>
    <w:rsid w:val="00D570A9"/>
    <w:rsid w:val="00D57500"/>
    <w:rsid w:val="00D5768E"/>
    <w:rsid w:val="00D600B9"/>
    <w:rsid w:val="00D60459"/>
    <w:rsid w:val="00D65369"/>
    <w:rsid w:val="00D67514"/>
    <w:rsid w:val="00D706D8"/>
    <w:rsid w:val="00D70D02"/>
    <w:rsid w:val="00D717B5"/>
    <w:rsid w:val="00D72A54"/>
    <w:rsid w:val="00D72AC9"/>
    <w:rsid w:val="00D72C1A"/>
    <w:rsid w:val="00D73ABB"/>
    <w:rsid w:val="00D745A4"/>
    <w:rsid w:val="00D770C7"/>
    <w:rsid w:val="00D803D9"/>
    <w:rsid w:val="00D80439"/>
    <w:rsid w:val="00D80E7E"/>
    <w:rsid w:val="00D81185"/>
    <w:rsid w:val="00D82DC3"/>
    <w:rsid w:val="00D86461"/>
    <w:rsid w:val="00D86945"/>
    <w:rsid w:val="00D90290"/>
    <w:rsid w:val="00D92FF7"/>
    <w:rsid w:val="00D94F7F"/>
    <w:rsid w:val="00DA2F0B"/>
    <w:rsid w:val="00DA34A2"/>
    <w:rsid w:val="00DA6164"/>
    <w:rsid w:val="00DA6338"/>
    <w:rsid w:val="00DA6EC8"/>
    <w:rsid w:val="00DA73E4"/>
    <w:rsid w:val="00DB1ACD"/>
    <w:rsid w:val="00DB2EE2"/>
    <w:rsid w:val="00DB54FF"/>
    <w:rsid w:val="00DB613B"/>
    <w:rsid w:val="00DC01BD"/>
    <w:rsid w:val="00DC15B3"/>
    <w:rsid w:val="00DC7F31"/>
    <w:rsid w:val="00DD152F"/>
    <w:rsid w:val="00DE034D"/>
    <w:rsid w:val="00DE213F"/>
    <w:rsid w:val="00DF027C"/>
    <w:rsid w:val="00DF2213"/>
    <w:rsid w:val="00DF47AD"/>
    <w:rsid w:val="00E00072"/>
    <w:rsid w:val="00E00A32"/>
    <w:rsid w:val="00E214A3"/>
    <w:rsid w:val="00E21788"/>
    <w:rsid w:val="00E224D6"/>
    <w:rsid w:val="00E22ACD"/>
    <w:rsid w:val="00E25C44"/>
    <w:rsid w:val="00E3151C"/>
    <w:rsid w:val="00E405BE"/>
    <w:rsid w:val="00E41199"/>
    <w:rsid w:val="00E41D8C"/>
    <w:rsid w:val="00E42301"/>
    <w:rsid w:val="00E50278"/>
    <w:rsid w:val="00E50F02"/>
    <w:rsid w:val="00E523A0"/>
    <w:rsid w:val="00E52FC1"/>
    <w:rsid w:val="00E5591D"/>
    <w:rsid w:val="00E57A8E"/>
    <w:rsid w:val="00E620B0"/>
    <w:rsid w:val="00E62AD8"/>
    <w:rsid w:val="00E64953"/>
    <w:rsid w:val="00E65778"/>
    <w:rsid w:val="00E70617"/>
    <w:rsid w:val="00E70D92"/>
    <w:rsid w:val="00E71F4B"/>
    <w:rsid w:val="00E74553"/>
    <w:rsid w:val="00E81B40"/>
    <w:rsid w:val="00E846E6"/>
    <w:rsid w:val="00E925CB"/>
    <w:rsid w:val="00E95980"/>
    <w:rsid w:val="00EA107F"/>
    <w:rsid w:val="00EA44AB"/>
    <w:rsid w:val="00EA67D7"/>
    <w:rsid w:val="00EB2354"/>
    <w:rsid w:val="00EB3276"/>
    <w:rsid w:val="00EB49C8"/>
    <w:rsid w:val="00EB5617"/>
    <w:rsid w:val="00EB5D9E"/>
    <w:rsid w:val="00EB6895"/>
    <w:rsid w:val="00EC0787"/>
    <w:rsid w:val="00EC16F4"/>
    <w:rsid w:val="00EC3BA1"/>
    <w:rsid w:val="00EC6D9F"/>
    <w:rsid w:val="00EC7A50"/>
    <w:rsid w:val="00ED04AC"/>
    <w:rsid w:val="00ED09D9"/>
    <w:rsid w:val="00ED64A9"/>
    <w:rsid w:val="00ED6ABB"/>
    <w:rsid w:val="00EE4DD3"/>
    <w:rsid w:val="00EE540B"/>
    <w:rsid w:val="00EE5716"/>
    <w:rsid w:val="00EE7667"/>
    <w:rsid w:val="00EF363E"/>
    <w:rsid w:val="00EF4208"/>
    <w:rsid w:val="00EF555B"/>
    <w:rsid w:val="00EF5A79"/>
    <w:rsid w:val="00EF654C"/>
    <w:rsid w:val="00F027BB"/>
    <w:rsid w:val="00F029D3"/>
    <w:rsid w:val="00F02E91"/>
    <w:rsid w:val="00F03770"/>
    <w:rsid w:val="00F04779"/>
    <w:rsid w:val="00F05ABE"/>
    <w:rsid w:val="00F11DCF"/>
    <w:rsid w:val="00F1209D"/>
    <w:rsid w:val="00F14747"/>
    <w:rsid w:val="00F162EA"/>
    <w:rsid w:val="00F16915"/>
    <w:rsid w:val="00F169A3"/>
    <w:rsid w:val="00F220E0"/>
    <w:rsid w:val="00F22436"/>
    <w:rsid w:val="00F40C4E"/>
    <w:rsid w:val="00F4103F"/>
    <w:rsid w:val="00F41AAB"/>
    <w:rsid w:val="00F42D3C"/>
    <w:rsid w:val="00F51D72"/>
    <w:rsid w:val="00F52D27"/>
    <w:rsid w:val="00F53486"/>
    <w:rsid w:val="00F53D48"/>
    <w:rsid w:val="00F5471B"/>
    <w:rsid w:val="00F556B6"/>
    <w:rsid w:val="00F56265"/>
    <w:rsid w:val="00F57870"/>
    <w:rsid w:val="00F63CA7"/>
    <w:rsid w:val="00F655FC"/>
    <w:rsid w:val="00F67364"/>
    <w:rsid w:val="00F67EB1"/>
    <w:rsid w:val="00F73417"/>
    <w:rsid w:val="00F75D11"/>
    <w:rsid w:val="00F83527"/>
    <w:rsid w:val="00F866AE"/>
    <w:rsid w:val="00F91D09"/>
    <w:rsid w:val="00F947AF"/>
    <w:rsid w:val="00F9619B"/>
    <w:rsid w:val="00FA2689"/>
    <w:rsid w:val="00FA278C"/>
    <w:rsid w:val="00FA3633"/>
    <w:rsid w:val="00FA4715"/>
    <w:rsid w:val="00FA4D5D"/>
    <w:rsid w:val="00FB0AF5"/>
    <w:rsid w:val="00FB5840"/>
    <w:rsid w:val="00FC2929"/>
    <w:rsid w:val="00FC3437"/>
    <w:rsid w:val="00FC6876"/>
    <w:rsid w:val="00FC7025"/>
    <w:rsid w:val="00FC7670"/>
    <w:rsid w:val="00FD16D2"/>
    <w:rsid w:val="00FD583F"/>
    <w:rsid w:val="00FD7488"/>
    <w:rsid w:val="00FE6E1E"/>
    <w:rsid w:val="00FF0519"/>
    <w:rsid w:val="00FF1484"/>
    <w:rsid w:val="00FF16B4"/>
    <w:rsid w:val="00FF3E04"/>
    <w:rsid w:val="00FF7164"/>
    <w:rsid w:val="00FF7CA8"/>
    <w:rsid w:val="04D22DF1"/>
    <w:rsid w:val="05D22329"/>
    <w:rsid w:val="061C4341"/>
    <w:rsid w:val="0691613E"/>
    <w:rsid w:val="07604C86"/>
    <w:rsid w:val="0861852F"/>
    <w:rsid w:val="08695153"/>
    <w:rsid w:val="08C31FC2"/>
    <w:rsid w:val="08D576DD"/>
    <w:rsid w:val="09013797"/>
    <w:rsid w:val="098E04A2"/>
    <w:rsid w:val="0B96610C"/>
    <w:rsid w:val="1016EF74"/>
    <w:rsid w:val="10696036"/>
    <w:rsid w:val="10E06E01"/>
    <w:rsid w:val="123E3718"/>
    <w:rsid w:val="15EEC1C7"/>
    <w:rsid w:val="15FFDE9F"/>
    <w:rsid w:val="17C7CAAB"/>
    <w:rsid w:val="1A6DAB4C"/>
    <w:rsid w:val="1C16E822"/>
    <w:rsid w:val="1C57B742"/>
    <w:rsid w:val="1D55AC88"/>
    <w:rsid w:val="1FCA8B44"/>
    <w:rsid w:val="1FEFB85C"/>
    <w:rsid w:val="21541D53"/>
    <w:rsid w:val="21BC3376"/>
    <w:rsid w:val="260AEF3E"/>
    <w:rsid w:val="27289BC6"/>
    <w:rsid w:val="292A8ACE"/>
    <w:rsid w:val="2A249546"/>
    <w:rsid w:val="2A84F273"/>
    <w:rsid w:val="2B112DFB"/>
    <w:rsid w:val="2BB1B138"/>
    <w:rsid w:val="2C588E6C"/>
    <w:rsid w:val="2D4E6ABC"/>
    <w:rsid w:val="2E09A4C4"/>
    <w:rsid w:val="2E12DFE2"/>
    <w:rsid w:val="324928F8"/>
    <w:rsid w:val="33A61E8C"/>
    <w:rsid w:val="3554EDD6"/>
    <w:rsid w:val="384EA5F0"/>
    <w:rsid w:val="3C1FD003"/>
    <w:rsid w:val="3C3E5F2E"/>
    <w:rsid w:val="3E29ECBD"/>
    <w:rsid w:val="3E7184DA"/>
    <w:rsid w:val="3EEF2EA8"/>
    <w:rsid w:val="40B512C6"/>
    <w:rsid w:val="4270DDF2"/>
    <w:rsid w:val="43CDCEC7"/>
    <w:rsid w:val="48D550F9"/>
    <w:rsid w:val="49360311"/>
    <w:rsid w:val="49CA45B2"/>
    <w:rsid w:val="4A35E7C3"/>
    <w:rsid w:val="4BC3D981"/>
    <w:rsid w:val="4DC905C5"/>
    <w:rsid w:val="4E057711"/>
    <w:rsid w:val="522AF52E"/>
    <w:rsid w:val="5250C2E3"/>
    <w:rsid w:val="52D5A8D9"/>
    <w:rsid w:val="53966796"/>
    <w:rsid w:val="54B88253"/>
    <w:rsid w:val="551D0F98"/>
    <w:rsid w:val="553B47CD"/>
    <w:rsid w:val="5584D96E"/>
    <w:rsid w:val="59F0FF60"/>
    <w:rsid w:val="5A1580CA"/>
    <w:rsid w:val="5B3A818E"/>
    <w:rsid w:val="5F0B35AC"/>
    <w:rsid w:val="6005E6F5"/>
    <w:rsid w:val="60A82C3D"/>
    <w:rsid w:val="618B3FE2"/>
    <w:rsid w:val="6264673B"/>
    <w:rsid w:val="62FA7024"/>
    <w:rsid w:val="65C6F1FF"/>
    <w:rsid w:val="668EBFFC"/>
    <w:rsid w:val="69DF28D6"/>
    <w:rsid w:val="6C395A62"/>
    <w:rsid w:val="6CAD84C9"/>
    <w:rsid w:val="6DA0BD95"/>
    <w:rsid w:val="7007178E"/>
    <w:rsid w:val="70C93F7A"/>
    <w:rsid w:val="720910D0"/>
    <w:rsid w:val="727902CB"/>
    <w:rsid w:val="73BEE38B"/>
    <w:rsid w:val="73FC3093"/>
    <w:rsid w:val="76D56B36"/>
    <w:rsid w:val="78EA9B58"/>
    <w:rsid w:val="7E04E3D3"/>
    <w:rsid w:val="7ECBA6D1"/>
    <w:rsid w:val="7F19F902"/>
  </w:rsids>
  <m:mathPr>
    <m:mathFont m:val="Cambria Math"/>
    <m:brkBin m:val="before"/>
    <m:brkBinSub m:val="--"/>
    <m:smallFrac m:val="0"/>
    <m:dispDef/>
    <m:lMargin m:val="1440"/>
    <m:rMargin m:val="1440"/>
    <m:defJc m:val="centerGroup"/>
    <m:wrapIndent m:val="1440"/>
    <m:intLim m:val="subSup"/>
    <m:naryLim m:val="undOvr"/>
  </m:mathPr>
  <w:attachedSchema w:val="urn:DocumentPartTemplate"/>
  <w:attachedSchema w:val="http://schemas.microsoft.com/temp/sampl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0239CA"/>
  <w15:docId w15:val="{8CE3F531-0C7E-41FD-BF1F-1C6EBCACF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uiPriority="4"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945"/>
    <w:pPr>
      <w:spacing w:after="0"/>
    </w:pPr>
    <w:rPr>
      <w:rFonts w:eastAsiaTheme="minorEastAsia"/>
      <w:b/>
      <w:color w:val="082A75" w:themeColor="text2"/>
      <w:sz w:val="28"/>
      <w:szCs w:val="22"/>
    </w:rPr>
  </w:style>
  <w:style w:type="paragraph" w:styleId="Heading1">
    <w:name w:val="heading 1"/>
    <w:basedOn w:val="Normal"/>
    <w:link w:val="Heading1Char"/>
    <w:uiPriority w:val="4"/>
    <w:qFormat/>
    <w:rsid w:val="00D077E9"/>
    <w:pPr>
      <w:keepNext/>
      <w:spacing w:before="240" w:after="60"/>
      <w:outlineLvl w:val="0"/>
    </w:pPr>
    <w:rPr>
      <w:rFonts w:asciiTheme="majorHAnsi" w:eastAsiaTheme="majorEastAsia" w:hAnsiTheme="majorHAnsi" w:cstheme="majorBidi"/>
      <w:color w:val="061F57" w:themeColor="text2" w:themeShade="BF"/>
      <w:kern w:val="28"/>
      <w:sz w:val="52"/>
      <w:szCs w:val="32"/>
    </w:rPr>
  </w:style>
  <w:style w:type="paragraph" w:styleId="Heading2">
    <w:name w:val="heading 2"/>
    <w:basedOn w:val="Normal"/>
    <w:next w:val="Normal"/>
    <w:link w:val="Heading2Char"/>
    <w:uiPriority w:val="4"/>
    <w:qFormat/>
    <w:rsid w:val="00E71F4B"/>
    <w:pPr>
      <w:keepNext/>
      <w:spacing w:after="240" w:line="240" w:lineRule="auto"/>
      <w:outlineLvl w:val="1"/>
    </w:pPr>
    <w:rPr>
      <w:rFonts w:eastAsiaTheme="majorEastAsia" w:cstheme="majorBidi"/>
      <w:b w:val="0"/>
      <w:sz w:val="44"/>
      <w:szCs w:val="26"/>
    </w:rPr>
  </w:style>
  <w:style w:type="paragraph" w:styleId="Heading3">
    <w:name w:val="heading 3"/>
    <w:basedOn w:val="Normal"/>
    <w:next w:val="Normal"/>
    <w:link w:val="Heading3Char"/>
    <w:uiPriority w:val="5"/>
    <w:unhideWhenUsed/>
    <w:qFormat/>
    <w:rsid w:val="00CB148E"/>
    <w:pPr>
      <w:keepNext/>
      <w:keepLines/>
      <w:spacing w:before="40"/>
      <w:outlineLvl w:val="2"/>
    </w:pPr>
    <w:rPr>
      <w:rFonts w:asciiTheme="majorHAnsi" w:eastAsiaTheme="majorEastAsia" w:hAnsiTheme="majorHAnsi" w:cstheme="majorBidi"/>
      <w:b w:val="0"/>
      <w:szCs w:val="24"/>
    </w:rPr>
  </w:style>
  <w:style w:type="paragraph" w:styleId="Heading4">
    <w:name w:val="heading 4"/>
    <w:basedOn w:val="Normal"/>
    <w:next w:val="Normal"/>
    <w:link w:val="Heading4Char"/>
    <w:uiPriority w:val="1"/>
    <w:unhideWhenUsed/>
    <w:qFormat/>
    <w:rsid w:val="00F14747"/>
    <w:pPr>
      <w:keepNext/>
      <w:keepLines/>
      <w:spacing w:before="40"/>
      <w:outlineLvl w:val="3"/>
    </w:pPr>
    <w:rPr>
      <w:rFonts w:asciiTheme="majorHAnsi" w:eastAsiaTheme="majorEastAsia" w:hAnsiTheme="majorHAnsi" w:cstheme="majorBidi"/>
      <w:i/>
      <w:iCs/>
      <w:color w:val="013A57"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link w:val="TitleChar"/>
    <w:uiPriority w:val="1"/>
    <w:qFormat/>
    <w:rsid w:val="00D86945"/>
    <w:pPr>
      <w:spacing w:after="200" w:line="240" w:lineRule="auto"/>
    </w:pPr>
    <w:rPr>
      <w:rFonts w:asciiTheme="majorHAnsi" w:eastAsiaTheme="majorEastAsia" w:hAnsiTheme="majorHAnsi" w:cstheme="majorBidi"/>
      <w:bCs/>
      <w:sz w:val="72"/>
      <w:szCs w:val="52"/>
    </w:rPr>
  </w:style>
  <w:style w:type="character" w:customStyle="1" w:styleId="TitleChar">
    <w:name w:val="Title Char"/>
    <w:basedOn w:val="DefaultParagraphFont"/>
    <w:link w:val="Title"/>
    <w:uiPriority w:val="1"/>
    <w:rsid w:val="00D86945"/>
    <w:rPr>
      <w:rFonts w:asciiTheme="majorHAnsi" w:eastAsiaTheme="majorEastAsia" w:hAnsiTheme="majorHAnsi" w:cstheme="majorBidi"/>
      <w:b/>
      <w:bCs/>
      <w:color w:val="082A75" w:themeColor="text2"/>
      <w:sz w:val="72"/>
      <w:szCs w:val="52"/>
    </w:rPr>
  </w:style>
  <w:style w:type="paragraph" w:styleId="Subtitle">
    <w:name w:val="Subtitle"/>
    <w:basedOn w:val="Normal"/>
    <w:link w:val="SubtitleChar"/>
    <w:uiPriority w:val="4"/>
    <w:qFormat/>
    <w:rsid w:val="00D86945"/>
    <w:pPr>
      <w:framePr w:hSpace="180" w:wrap="around" w:vAnchor="text" w:hAnchor="margin" w:y="1167"/>
    </w:pPr>
    <w:rPr>
      <w:b w:val="0"/>
      <w:caps/>
      <w:spacing w:val="20"/>
      <w:sz w:val="32"/>
    </w:rPr>
  </w:style>
  <w:style w:type="character" w:customStyle="1" w:styleId="SubtitleChar">
    <w:name w:val="Subtitle Char"/>
    <w:basedOn w:val="DefaultParagraphFont"/>
    <w:link w:val="Subtitle"/>
    <w:uiPriority w:val="4"/>
    <w:rsid w:val="00D86945"/>
    <w:rPr>
      <w:rFonts w:eastAsiaTheme="minorEastAsia"/>
      <w:caps/>
      <w:color w:val="082A75" w:themeColor="text2"/>
      <w:spacing w:val="20"/>
      <w:sz w:val="32"/>
      <w:szCs w:val="22"/>
    </w:rPr>
  </w:style>
  <w:style w:type="character" w:customStyle="1" w:styleId="Heading1Char">
    <w:name w:val="Heading 1 Char"/>
    <w:basedOn w:val="DefaultParagraphFont"/>
    <w:link w:val="Heading1"/>
    <w:uiPriority w:val="4"/>
    <w:rsid w:val="00D077E9"/>
    <w:rPr>
      <w:rFonts w:asciiTheme="majorHAnsi" w:eastAsiaTheme="majorEastAsia" w:hAnsiTheme="majorHAnsi" w:cstheme="majorBidi"/>
      <w:b/>
      <w:color w:val="061F57" w:themeColor="text2" w:themeShade="BF"/>
      <w:kern w:val="28"/>
      <w:sz w:val="52"/>
      <w:szCs w:val="32"/>
    </w:rPr>
  </w:style>
  <w:style w:type="paragraph" w:styleId="Header">
    <w:name w:val="header"/>
    <w:basedOn w:val="Normal"/>
    <w:link w:val="HeaderChar"/>
    <w:uiPriority w:val="8"/>
    <w:unhideWhenUsed/>
    <w:rsid w:val="005037F0"/>
  </w:style>
  <w:style w:type="character" w:customStyle="1" w:styleId="HeaderChar">
    <w:name w:val="Header Char"/>
    <w:basedOn w:val="DefaultParagraphFont"/>
    <w:link w:val="Header"/>
    <w:uiPriority w:val="8"/>
    <w:rsid w:val="0093335D"/>
  </w:style>
  <w:style w:type="paragraph" w:styleId="Footer">
    <w:name w:val="footer"/>
    <w:basedOn w:val="Normal"/>
    <w:link w:val="FooterChar"/>
    <w:uiPriority w:val="99"/>
    <w:unhideWhenUsed/>
    <w:rsid w:val="005037F0"/>
  </w:style>
  <w:style w:type="character" w:customStyle="1" w:styleId="FooterChar">
    <w:name w:val="Footer Char"/>
    <w:basedOn w:val="DefaultParagraphFont"/>
    <w:link w:val="Footer"/>
    <w:uiPriority w:val="99"/>
    <w:rsid w:val="005037F0"/>
    <w:rPr>
      <w:sz w:val="24"/>
      <w:szCs w:val="24"/>
    </w:rPr>
  </w:style>
  <w:style w:type="paragraph" w:customStyle="1" w:styleId="Name">
    <w:name w:val="Name"/>
    <w:basedOn w:val="Normal"/>
    <w:uiPriority w:val="3"/>
    <w:qFormat/>
    <w:rsid w:val="00B231E5"/>
    <w:pPr>
      <w:spacing w:line="240" w:lineRule="auto"/>
      <w:jc w:val="right"/>
    </w:pPr>
  </w:style>
  <w:style w:type="character" w:customStyle="1" w:styleId="Heading2Char">
    <w:name w:val="Heading 2 Char"/>
    <w:basedOn w:val="DefaultParagraphFont"/>
    <w:link w:val="Heading2"/>
    <w:uiPriority w:val="4"/>
    <w:rsid w:val="00E71F4B"/>
    <w:rPr>
      <w:rFonts w:eastAsiaTheme="majorEastAsia" w:cstheme="majorBidi"/>
      <w:color w:val="082A75" w:themeColor="text2"/>
      <w:sz w:val="44"/>
      <w:szCs w:val="26"/>
    </w:rPr>
  </w:style>
  <w:style w:type="table" w:styleId="TableGrid">
    <w:name w:val="Table Grid"/>
    <w:basedOn w:val="TableNormal"/>
    <w:uiPriority w:val="39"/>
    <w:rsid w:val="00FF1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unhideWhenUsed/>
    <w:rsid w:val="00D86945"/>
    <w:rPr>
      <w:color w:val="808080"/>
    </w:rPr>
  </w:style>
  <w:style w:type="paragraph" w:customStyle="1" w:styleId="Content">
    <w:name w:val="Content"/>
    <w:basedOn w:val="Normal"/>
    <w:link w:val="ContentChar"/>
    <w:qFormat/>
    <w:rsid w:val="00680D42"/>
    <w:rPr>
      <w:b w:val="0"/>
      <w:sz w:val="24"/>
    </w:rPr>
  </w:style>
  <w:style w:type="paragraph" w:customStyle="1" w:styleId="EmphasisText">
    <w:name w:val="Emphasis Text"/>
    <w:basedOn w:val="Normal"/>
    <w:link w:val="EmphasisTextChar"/>
    <w:qFormat/>
    <w:rsid w:val="00DF027C"/>
  </w:style>
  <w:style w:type="character" w:customStyle="1" w:styleId="ContentChar">
    <w:name w:val="Content Char"/>
    <w:basedOn w:val="DefaultParagraphFont"/>
    <w:link w:val="Content"/>
    <w:rsid w:val="00680D42"/>
    <w:rPr>
      <w:rFonts w:eastAsiaTheme="minorEastAsia"/>
      <w:color w:val="082A75" w:themeColor="text2"/>
      <w:szCs w:val="22"/>
    </w:rPr>
  </w:style>
  <w:style w:type="character" w:customStyle="1" w:styleId="EmphasisTextChar">
    <w:name w:val="Emphasis Text Char"/>
    <w:basedOn w:val="DefaultParagraphFont"/>
    <w:link w:val="EmphasisText"/>
    <w:rsid w:val="00DF027C"/>
    <w:rPr>
      <w:rFonts w:eastAsiaTheme="minorEastAsia"/>
      <w:b/>
      <w:color w:val="082A75" w:themeColor="text2"/>
      <w:sz w:val="28"/>
      <w:szCs w:val="22"/>
    </w:rPr>
  </w:style>
  <w:style w:type="paragraph" w:styleId="TOC1">
    <w:name w:val="toc 1"/>
    <w:basedOn w:val="Normal"/>
    <w:next w:val="Normal"/>
    <w:autoRedefine/>
    <w:uiPriority w:val="39"/>
    <w:unhideWhenUsed/>
    <w:rsid w:val="00CE45D4"/>
    <w:pPr>
      <w:spacing w:after="100"/>
    </w:pPr>
  </w:style>
  <w:style w:type="paragraph" w:styleId="TOC2">
    <w:name w:val="toc 2"/>
    <w:basedOn w:val="Normal"/>
    <w:next w:val="Normal"/>
    <w:autoRedefine/>
    <w:uiPriority w:val="39"/>
    <w:unhideWhenUsed/>
    <w:rsid w:val="00CE45D4"/>
    <w:pPr>
      <w:spacing w:after="100"/>
      <w:ind w:left="280"/>
    </w:pPr>
  </w:style>
  <w:style w:type="character" w:styleId="Hyperlink">
    <w:name w:val="Hyperlink"/>
    <w:basedOn w:val="DefaultParagraphFont"/>
    <w:uiPriority w:val="99"/>
    <w:unhideWhenUsed/>
    <w:rsid w:val="00CE45D4"/>
    <w:rPr>
      <w:color w:val="3592CF" w:themeColor="hyperlink"/>
      <w:u w:val="single"/>
    </w:rPr>
  </w:style>
  <w:style w:type="character" w:customStyle="1" w:styleId="Heading3Char">
    <w:name w:val="Heading 3 Char"/>
    <w:basedOn w:val="DefaultParagraphFont"/>
    <w:link w:val="Heading3"/>
    <w:uiPriority w:val="5"/>
    <w:rsid w:val="00CB148E"/>
    <w:rPr>
      <w:rFonts w:asciiTheme="majorHAnsi" w:eastAsiaTheme="majorEastAsia" w:hAnsiTheme="majorHAnsi" w:cstheme="majorBidi"/>
      <w:color w:val="082A75" w:themeColor="text2"/>
      <w:sz w:val="28"/>
    </w:rPr>
  </w:style>
  <w:style w:type="paragraph" w:styleId="ListParagraph">
    <w:name w:val="List Paragraph"/>
    <w:basedOn w:val="Normal"/>
    <w:uiPriority w:val="34"/>
    <w:unhideWhenUsed/>
    <w:qFormat/>
    <w:rsid w:val="00680D42"/>
    <w:pPr>
      <w:ind w:left="720"/>
      <w:contextualSpacing/>
    </w:pPr>
    <w:rPr>
      <w:b w:val="0"/>
      <w:sz w:val="24"/>
    </w:rPr>
  </w:style>
  <w:style w:type="paragraph" w:styleId="IntenseQuote">
    <w:name w:val="Intense Quote"/>
    <w:aliases w:val="Alternate Heading 1"/>
    <w:basedOn w:val="Normal"/>
    <w:next w:val="Normal"/>
    <w:link w:val="IntenseQuoteChar"/>
    <w:uiPriority w:val="30"/>
    <w:qFormat/>
    <w:rsid w:val="007540FB"/>
    <w:pPr>
      <w:spacing w:before="120" w:after="120" w:line="240" w:lineRule="auto"/>
    </w:pPr>
    <w:rPr>
      <w:color w:val="77B32F"/>
      <w:szCs w:val="24"/>
    </w:rPr>
  </w:style>
  <w:style w:type="character" w:customStyle="1" w:styleId="IntenseQuoteChar">
    <w:name w:val="Intense Quote Char"/>
    <w:aliases w:val="Alternate Heading 1 Char"/>
    <w:basedOn w:val="DefaultParagraphFont"/>
    <w:link w:val="IntenseQuote"/>
    <w:uiPriority w:val="30"/>
    <w:rsid w:val="007540FB"/>
    <w:rPr>
      <w:rFonts w:eastAsiaTheme="minorEastAsia"/>
      <w:b/>
      <w:color w:val="77B32F"/>
      <w:sz w:val="28"/>
    </w:rPr>
  </w:style>
  <w:style w:type="table" w:styleId="PlainTable1">
    <w:name w:val="Plain Table 1"/>
    <w:basedOn w:val="TableNormal"/>
    <w:uiPriority w:val="41"/>
    <w:rsid w:val="003C0ED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3">
    <w:name w:val="toc 3"/>
    <w:basedOn w:val="Normal"/>
    <w:next w:val="Normal"/>
    <w:autoRedefine/>
    <w:uiPriority w:val="39"/>
    <w:unhideWhenUsed/>
    <w:rsid w:val="00D72A54"/>
    <w:pPr>
      <w:spacing w:after="100"/>
      <w:ind w:left="560"/>
    </w:pPr>
  </w:style>
  <w:style w:type="table" w:styleId="PlainTable3">
    <w:name w:val="Plain Table 3"/>
    <w:basedOn w:val="TableNormal"/>
    <w:uiPriority w:val="43"/>
    <w:rsid w:val="00EF654C"/>
    <w:pPr>
      <w:spacing w:after="0" w:line="240" w:lineRule="auto"/>
    </w:pPr>
    <w:tblPr>
      <w:tblStyleRowBandSize w:val="1"/>
      <w:tblStyleColBandSize w:val="1"/>
    </w:tblPr>
    <w:tblStylePr w:type="firstRow">
      <w:rPr>
        <w:b/>
        <w:bCs/>
        <w:caps/>
      </w:rPr>
      <w:tblPr/>
      <w:tcPr>
        <w:tcBorders>
          <w:bottom w:val="single" w:sz="4" w:space="0" w:color="5951C8"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951C8"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AppendixTitle">
    <w:name w:val="Appendix Title"/>
    <w:basedOn w:val="Heading1"/>
    <w:link w:val="AppendixTitleChar"/>
    <w:qFormat/>
    <w:rsid w:val="00953E92"/>
    <w:pPr>
      <w:jc w:val="center"/>
    </w:pPr>
  </w:style>
  <w:style w:type="paragraph" w:styleId="TableofFigures">
    <w:name w:val="table of figures"/>
    <w:basedOn w:val="Normal"/>
    <w:next w:val="Normal"/>
    <w:uiPriority w:val="99"/>
    <w:unhideWhenUsed/>
    <w:rsid w:val="00D82DC3"/>
  </w:style>
  <w:style w:type="character" w:customStyle="1" w:styleId="AppendixTitleChar">
    <w:name w:val="Appendix Title Char"/>
    <w:basedOn w:val="Heading1Char"/>
    <w:link w:val="AppendixTitle"/>
    <w:rsid w:val="00953E92"/>
    <w:rPr>
      <w:rFonts w:asciiTheme="majorHAnsi" w:eastAsiaTheme="majorEastAsia" w:hAnsiTheme="majorHAnsi" w:cstheme="majorBidi"/>
      <w:b/>
      <w:color w:val="061F57" w:themeColor="text2" w:themeShade="BF"/>
      <w:kern w:val="28"/>
      <w:sz w:val="52"/>
      <w:szCs w:val="32"/>
    </w:rPr>
  </w:style>
  <w:style w:type="character" w:customStyle="1" w:styleId="Heading4Char">
    <w:name w:val="Heading 4 Char"/>
    <w:basedOn w:val="DefaultParagraphFont"/>
    <w:link w:val="Heading4"/>
    <w:uiPriority w:val="1"/>
    <w:rsid w:val="00F14747"/>
    <w:rPr>
      <w:rFonts w:asciiTheme="majorHAnsi" w:eastAsiaTheme="majorEastAsia" w:hAnsiTheme="majorHAnsi" w:cstheme="majorBidi"/>
      <w:b/>
      <w:i/>
      <w:iCs/>
      <w:color w:val="013A57" w:themeColor="accent1" w:themeShade="BF"/>
      <w:sz w:val="28"/>
      <w:szCs w:val="22"/>
    </w:rPr>
  </w:style>
  <w:style w:type="character" w:styleId="CommentReference">
    <w:name w:val="annotation reference"/>
    <w:basedOn w:val="DefaultParagraphFont"/>
    <w:uiPriority w:val="99"/>
    <w:semiHidden/>
    <w:unhideWhenUsed/>
    <w:rsid w:val="00F947AF"/>
    <w:rPr>
      <w:sz w:val="16"/>
      <w:szCs w:val="16"/>
    </w:rPr>
  </w:style>
  <w:style w:type="paragraph" w:styleId="CommentText">
    <w:name w:val="annotation text"/>
    <w:basedOn w:val="Normal"/>
    <w:link w:val="CommentTextChar"/>
    <w:uiPriority w:val="99"/>
    <w:unhideWhenUsed/>
    <w:rsid w:val="00F947AF"/>
    <w:pPr>
      <w:spacing w:line="240" w:lineRule="auto"/>
    </w:pPr>
    <w:rPr>
      <w:sz w:val="20"/>
      <w:szCs w:val="20"/>
    </w:rPr>
  </w:style>
  <w:style w:type="character" w:customStyle="1" w:styleId="CommentTextChar">
    <w:name w:val="Comment Text Char"/>
    <w:basedOn w:val="DefaultParagraphFont"/>
    <w:link w:val="CommentText"/>
    <w:uiPriority w:val="99"/>
    <w:rsid w:val="00F947AF"/>
    <w:rPr>
      <w:rFonts w:eastAsiaTheme="minorEastAsia"/>
      <w:b/>
      <w:color w:val="082A75" w:themeColor="text2"/>
      <w:sz w:val="20"/>
      <w:szCs w:val="20"/>
    </w:rPr>
  </w:style>
  <w:style w:type="paragraph" w:styleId="CommentSubject">
    <w:name w:val="annotation subject"/>
    <w:basedOn w:val="CommentText"/>
    <w:next w:val="CommentText"/>
    <w:link w:val="CommentSubjectChar"/>
    <w:uiPriority w:val="99"/>
    <w:semiHidden/>
    <w:unhideWhenUsed/>
    <w:rsid w:val="00F947AF"/>
    <w:rPr>
      <w:bCs/>
    </w:rPr>
  </w:style>
  <w:style w:type="character" w:customStyle="1" w:styleId="CommentSubjectChar">
    <w:name w:val="Comment Subject Char"/>
    <w:basedOn w:val="CommentTextChar"/>
    <w:link w:val="CommentSubject"/>
    <w:uiPriority w:val="99"/>
    <w:semiHidden/>
    <w:rsid w:val="00F947AF"/>
    <w:rPr>
      <w:rFonts w:eastAsiaTheme="minorEastAsia"/>
      <w:b/>
      <w:bCs/>
      <w:color w:val="082A75" w:themeColor="text2"/>
      <w:sz w:val="20"/>
      <w:szCs w:val="20"/>
    </w:rPr>
  </w:style>
  <w:style w:type="character" w:styleId="UnresolvedMention">
    <w:name w:val="Unresolved Mention"/>
    <w:basedOn w:val="DefaultParagraphFont"/>
    <w:uiPriority w:val="99"/>
    <w:semiHidden/>
    <w:unhideWhenUsed/>
    <w:rsid w:val="005E1DDA"/>
    <w:rPr>
      <w:color w:val="605E5C"/>
      <w:shd w:val="clear" w:color="auto" w:fill="E1DFDD"/>
    </w:rPr>
  </w:style>
  <w:style w:type="paragraph" w:customStyle="1" w:styleId="Default">
    <w:name w:val="Default"/>
    <w:rsid w:val="008B6230"/>
    <w:pPr>
      <w:autoSpaceDE w:val="0"/>
      <w:autoSpaceDN w:val="0"/>
      <w:adjustRightInd w:val="0"/>
      <w:spacing w:after="0" w:line="240" w:lineRule="auto"/>
    </w:pPr>
    <w:rPr>
      <w:rFonts w:ascii="Times New Roman" w:hAnsi="Times New Roman" w:cs="Times New Roman"/>
      <w:color w:val="000000"/>
    </w:rPr>
  </w:style>
  <w:style w:type="paragraph" w:styleId="Revision">
    <w:name w:val="Revision"/>
    <w:hidden/>
    <w:uiPriority w:val="99"/>
    <w:semiHidden/>
    <w:rsid w:val="00BE3472"/>
    <w:pPr>
      <w:spacing w:after="0" w:line="240" w:lineRule="auto"/>
    </w:pPr>
    <w:rPr>
      <w:rFonts w:eastAsiaTheme="minorEastAsia"/>
      <w:b/>
      <w:color w:val="082A75" w:themeColor="text2"/>
      <w:sz w:val="28"/>
      <w:szCs w:val="22"/>
    </w:rPr>
  </w:style>
  <w:style w:type="paragraph" w:styleId="NormalWeb">
    <w:name w:val="Normal (Web)"/>
    <w:basedOn w:val="Normal"/>
    <w:uiPriority w:val="99"/>
    <w:semiHidden/>
    <w:unhideWhenUsed/>
    <w:rsid w:val="00AD7502"/>
    <w:pPr>
      <w:spacing w:before="100" w:beforeAutospacing="1" w:after="100" w:afterAutospacing="1" w:line="240" w:lineRule="auto"/>
    </w:pPr>
    <w:rPr>
      <w:rFonts w:ascii="Times New Roman" w:eastAsia="Times New Roman" w:hAnsi="Times New Roman" w:cs="Times New Roman"/>
      <w:b w:val="0"/>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3196">
      <w:bodyDiv w:val="1"/>
      <w:marLeft w:val="0"/>
      <w:marRight w:val="0"/>
      <w:marTop w:val="0"/>
      <w:marBottom w:val="0"/>
      <w:divBdr>
        <w:top w:val="none" w:sz="0" w:space="0" w:color="auto"/>
        <w:left w:val="none" w:sz="0" w:space="0" w:color="auto"/>
        <w:bottom w:val="none" w:sz="0" w:space="0" w:color="auto"/>
        <w:right w:val="none" w:sz="0" w:space="0" w:color="auto"/>
      </w:divBdr>
    </w:div>
    <w:div w:id="161698273">
      <w:bodyDiv w:val="1"/>
      <w:marLeft w:val="0"/>
      <w:marRight w:val="0"/>
      <w:marTop w:val="0"/>
      <w:marBottom w:val="0"/>
      <w:divBdr>
        <w:top w:val="none" w:sz="0" w:space="0" w:color="auto"/>
        <w:left w:val="none" w:sz="0" w:space="0" w:color="auto"/>
        <w:bottom w:val="none" w:sz="0" w:space="0" w:color="auto"/>
        <w:right w:val="none" w:sz="0" w:space="0" w:color="auto"/>
      </w:divBdr>
      <w:divsChild>
        <w:div w:id="1814299185">
          <w:marLeft w:val="547"/>
          <w:marRight w:val="0"/>
          <w:marTop w:val="0"/>
          <w:marBottom w:val="0"/>
          <w:divBdr>
            <w:top w:val="none" w:sz="0" w:space="0" w:color="auto"/>
            <w:left w:val="none" w:sz="0" w:space="0" w:color="auto"/>
            <w:bottom w:val="none" w:sz="0" w:space="0" w:color="auto"/>
            <w:right w:val="none" w:sz="0" w:space="0" w:color="auto"/>
          </w:divBdr>
        </w:div>
      </w:divsChild>
    </w:div>
    <w:div w:id="419912319">
      <w:bodyDiv w:val="1"/>
      <w:marLeft w:val="0"/>
      <w:marRight w:val="0"/>
      <w:marTop w:val="0"/>
      <w:marBottom w:val="0"/>
      <w:divBdr>
        <w:top w:val="none" w:sz="0" w:space="0" w:color="auto"/>
        <w:left w:val="none" w:sz="0" w:space="0" w:color="auto"/>
        <w:bottom w:val="none" w:sz="0" w:space="0" w:color="auto"/>
        <w:right w:val="none" w:sz="0" w:space="0" w:color="auto"/>
      </w:divBdr>
      <w:divsChild>
        <w:div w:id="134103469">
          <w:marLeft w:val="418"/>
          <w:marRight w:val="0"/>
          <w:marTop w:val="40"/>
          <w:marBottom w:val="80"/>
          <w:divBdr>
            <w:top w:val="none" w:sz="0" w:space="0" w:color="auto"/>
            <w:left w:val="none" w:sz="0" w:space="0" w:color="auto"/>
            <w:bottom w:val="none" w:sz="0" w:space="0" w:color="auto"/>
            <w:right w:val="none" w:sz="0" w:space="0" w:color="auto"/>
          </w:divBdr>
        </w:div>
      </w:divsChild>
    </w:div>
    <w:div w:id="819808144">
      <w:bodyDiv w:val="1"/>
      <w:marLeft w:val="0"/>
      <w:marRight w:val="0"/>
      <w:marTop w:val="0"/>
      <w:marBottom w:val="0"/>
      <w:divBdr>
        <w:top w:val="none" w:sz="0" w:space="0" w:color="auto"/>
        <w:left w:val="none" w:sz="0" w:space="0" w:color="auto"/>
        <w:bottom w:val="none" w:sz="0" w:space="0" w:color="auto"/>
        <w:right w:val="none" w:sz="0" w:space="0" w:color="auto"/>
      </w:divBdr>
    </w:div>
    <w:div w:id="1304775907">
      <w:bodyDiv w:val="1"/>
      <w:marLeft w:val="0"/>
      <w:marRight w:val="0"/>
      <w:marTop w:val="0"/>
      <w:marBottom w:val="0"/>
      <w:divBdr>
        <w:top w:val="none" w:sz="0" w:space="0" w:color="auto"/>
        <w:left w:val="none" w:sz="0" w:space="0" w:color="auto"/>
        <w:bottom w:val="none" w:sz="0" w:space="0" w:color="auto"/>
        <w:right w:val="none" w:sz="0" w:space="0" w:color="auto"/>
      </w:divBdr>
      <w:divsChild>
        <w:div w:id="1739479485">
          <w:marLeft w:val="547"/>
          <w:marRight w:val="0"/>
          <w:marTop w:val="0"/>
          <w:marBottom w:val="0"/>
          <w:divBdr>
            <w:top w:val="none" w:sz="0" w:space="0" w:color="auto"/>
            <w:left w:val="none" w:sz="0" w:space="0" w:color="auto"/>
            <w:bottom w:val="none" w:sz="0" w:space="0" w:color="auto"/>
            <w:right w:val="none" w:sz="0" w:space="0" w:color="auto"/>
          </w:divBdr>
        </w:div>
      </w:divsChild>
    </w:div>
    <w:div w:id="1319188357">
      <w:bodyDiv w:val="1"/>
      <w:marLeft w:val="0"/>
      <w:marRight w:val="0"/>
      <w:marTop w:val="0"/>
      <w:marBottom w:val="0"/>
      <w:divBdr>
        <w:top w:val="none" w:sz="0" w:space="0" w:color="auto"/>
        <w:left w:val="none" w:sz="0" w:space="0" w:color="auto"/>
        <w:bottom w:val="none" w:sz="0" w:space="0" w:color="auto"/>
        <w:right w:val="none" w:sz="0" w:space="0" w:color="auto"/>
      </w:divBdr>
    </w:div>
    <w:div w:id="1379743784">
      <w:bodyDiv w:val="1"/>
      <w:marLeft w:val="0"/>
      <w:marRight w:val="0"/>
      <w:marTop w:val="0"/>
      <w:marBottom w:val="0"/>
      <w:divBdr>
        <w:top w:val="none" w:sz="0" w:space="0" w:color="auto"/>
        <w:left w:val="none" w:sz="0" w:space="0" w:color="auto"/>
        <w:bottom w:val="none" w:sz="0" w:space="0" w:color="auto"/>
        <w:right w:val="none" w:sz="0" w:space="0" w:color="auto"/>
      </w:divBdr>
    </w:div>
    <w:div w:id="1651324119">
      <w:bodyDiv w:val="1"/>
      <w:marLeft w:val="0"/>
      <w:marRight w:val="0"/>
      <w:marTop w:val="0"/>
      <w:marBottom w:val="0"/>
      <w:divBdr>
        <w:top w:val="none" w:sz="0" w:space="0" w:color="auto"/>
        <w:left w:val="none" w:sz="0" w:space="0" w:color="auto"/>
        <w:bottom w:val="none" w:sz="0" w:space="0" w:color="auto"/>
        <w:right w:val="none" w:sz="0" w:space="0" w:color="auto"/>
      </w:divBdr>
      <w:divsChild>
        <w:div w:id="2105608081">
          <w:marLeft w:val="547"/>
          <w:marRight w:val="0"/>
          <w:marTop w:val="0"/>
          <w:marBottom w:val="0"/>
          <w:divBdr>
            <w:top w:val="none" w:sz="0" w:space="0" w:color="auto"/>
            <w:left w:val="none" w:sz="0" w:space="0" w:color="auto"/>
            <w:bottom w:val="none" w:sz="0" w:space="0" w:color="auto"/>
            <w:right w:val="none" w:sz="0" w:space="0" w:color="auto"/>
          </w:divBdr>
        </w:div>
      </w:divsChild>
    </w:div>
    <w:div w:id="1919632234">
      <w:bodyDiv w:val="1"/>
      <w:marLeft w:val="0"/>
      <w:marRight w:val="0"/>
      <w:marTop w:val="0"/>
      <w:marBottom w:val="0"/>
      <w:divBdr>
        <w:top w:val="none" w:sz="0" w:space="0" w:color="auto"/>
        <w:left w:val="none" w:sz="0" w:space="0" w:color="auto"/>
        <w:bottom w:val="none" w:sz="0" w:space="0" w:color="auto"/>
        <w:right w:val="none" w:sz="0" w:space="0" w:color="auto"/>
      </w:divBdr>
      <w:divsChild>
        <w:div w:id="1354108685">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50602\AppData\Roaming\Microsoft\Templates\Report%20.dotx" TargetMode="External"/></Relationships>
</file>

<file path=word/theme/theme1.xml><?xml version="1.0" encoding="utf-8"?>
<a:theme xmlns:a="http://schemas.openxmlformats.org/drawingml/2006/main" name="Custom Theme">
  <a:themeElements>
    <a:clrScheme name="Custom 29">
      <a:dk1>
        <a:srgbClr val="0F0D29"/>
      </a:dk1>
      <a:lt1>
        <a:srgbClr val="FFFFFF"/>
      </a:lt1>
      <a:dk2>
        <a:srgbClr val="082A75"/>
      </a:dk2>
      <a:lt2>
        <a:srgbClr val="E7E6E6"/>
      </a:lt2>
      <a:accent1>
        <a:srgbClr val="024F75"/>
      </a:accent1>
      <a:accent2>
        <a:srgbClr val="3592CF"/>
      </a:accent2>
      <a:accent3>
        <a:srgbClr val="34ABA2"/>
      </a:accent3>
      <a:accent4>
        <a:srgbClr val="66B2CA"/>
      </a:accent4>
      <a:accent5>
        <a:srgbClr val="C1D9CB"/>
      </a:accent5>
      <a:accent6>
        <a:srgbClr val="34ABA2"/>
      </a:accent6>
      <a:hlink>
        <a:srgbClr val="3592CF"/>
      </a:hlink>
      <a:folHlink>
        <a:srgbClr val="3592CF"/>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8D1AE864022FC4AB1940C9ACBC18425" ma:contentTypeVersion="19" ma:contentTypeDescription="Create a new document." ma:contentTypeScope="" ma:versionID="0c5c5939c7679f1f3fc34bf28d89cc4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7ca2beb3-1377-461b-b2b4-dd4dfd030764" xmlns:ns6="22d004a6-2f8d-4a75-9f1d-859e2ae55add" targetNamespace="http://schemas.microsoft.com/office/2006/metadata/properties" ma:root="true" ma:fieldsID="1182d8e62c7ea203c520ac9a7a3b90be" ns1:_="" ns2:_="" ns3:_="" ns4:_="" ns5:_="" ns6:_="">
    <xsd:import namespace="http://schemas.microsoft.com/sharepoint/v3"/>
    <xsd:import namespace="4ffa91fb-a0ff-4ac5-b2db-65c790d184a4"/>
    <xsd:import namespace="http://schemas.microsoft.com/sharepoint.v3"/>
    <xsd:import namespace="http://schemas.microsoft.com/sharepoint/v3/fields"/>
    <xsd:import namespace="7ca2beb3-1377-461b-b2b4-dd4dfd030764"/>
    <xsd:import namespace="22d004a6-2f8d-4a75-9f1d-859e2ae55add"/>
    <xsd:element name="properties">
      <xsd:complexType>
        <xsd:sequence>
          <xsd:element name="documentManagement">
            <xsd:complexType>
              <xsd:all>
                <xsd:element ref="ns2:Document_x0020_Creation_x0020_Date" minOccurs="0"/>
                <xsd:element ref="ns2:Creator" minOccurs="0"/>
                <xsd:element ref="ns2:EPA_x0020_Office" minOccurs="0"/>
                <xsd:element ref="ns2:Record"/>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LengthInSeconds" minOccurs="0"/>
                <xsd:element ref="ns5:MediaServiceDateTaken" minOccurs="0"/>
                <xsd:element ref="ns6:SharedWithUsers" minOccurs="0"/>
                <xsd:element ref="ns6:SharedWithDetails" minOccurs="0"/>
                <xsd:element ref="ns5:MediaServiceObjectDetectorVersions" minOccurs="0"/>
                <xsd:element ref="ns5:MediaServiceGenerationTime" minOccurs="0"/>
                <xsd:element ref="ns5:MediaServiceEventHashCode" minOccurs="0"/>
                <xsd:element ref="ns6:e3f09c3df709400db2417a7161762d6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54f485cd-92c0-4abe-a378-745fe4335b12}" ma:internalName="TaxCatchAllLabel" ma:readOnly="true" ma:showField="CatchAllDataLabel" ma:web="22d004a6-2f8d-4a75-9f1d-859e2ae55add">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54f485cd-92c0-4abe-a378-745fe4335b12}" ma:internalName="TaxCatchAll" ma:showField="CatchAllData" ma:web="22d004a6-2f8d-4a75-9f1d-859e2ae55a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2beb3-1377-461b-b2b4-dd4dfd030764"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LengthInSeconds" ma:index="30" nillable="true" ma:displayName="MediaLengthInSeconds" ma:hidden="true" ma:internalName="MediaLengthInSeconds" ma:readOnly="true">
      <xsd:simpleType>
        <xsd:restriction base="dms:Unknown"/>
      </xsd:simpleType>
    </xsd:element>
    <xsd:element name="MediaServiceDateTaken" ma:index="31" nillable="true" ma:displayName="MediaServiceDateTaken" ma:hidden="true" ma:internalName="MediaServiceDateTaken" ma:readOnly="true">
      <xsd:simpleType>
        <xsd:restriction base="dms:Text"/>
      </xsd:simpleType>
    </xsd:element>
    <xsd:element name="MediaServiceObjectDetectorVersions" ma:index="34" nillable="true" ma:displayName="MediaServiceObjectDetectorVersions" ma:hidden="true" ma:indexed="true" ma:internalName="MediaServiceObjectDetectorVersion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d004a6-2f8d-4a75-9f1d-859e2ae55add" elementFormDefault="qualified">
    <xsd:import namespace="http://schemas.microsoft.com/office/2006/documentManagement/types"/>
    <xsd:import namespace="http://schemas.microsoft.com/office/infopath/2007/PartnerControls"/>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element name="e3f09c3df709400db2417a7161762d62" ma:index="37"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9f62856-1543-49d4-a736-4569d363f533"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e3f09c3df709400db2417a7161762d62 xmlns="22d004a6-2f8d-4a75-9f1d-859e2ae55add">
      <Terms xmlns="http://schemas.microsoft.com/office/infopath/2007/PartnerControls"/>
    </e3f09c3df709400db2417a7161762d62>
    <Document_x0020_Creation_x0020_Date xmlns="4ffa91fb-a0ff-4ac5-b2db-65c790d184a4">2020-03-18T04:00:00+00:00</Document_x0020_Creation_x0020_Date>
    <EPA_x0020_Office xmlns="4ffa91fb-a0ff-4ac5-b2db-65c790d184a4">Not Found!</EPA_x0020_Office>
    <CategoryDescription xmlns="http://schemas.microsoft.com/sharepoint.v3" xsi:nil="true"/>
    <Identifier xmlns="4ffa91fb-a0ff-4ac5-b2db-65c790d184a4" xsi:nil="true"/>
    <_Coverage xmlns="http://schemas.microsoft.com/sharepoint/v3/fields" xsi:nil="true"/>
    <Creator xmlns="4ffa91fb-a0ff-4ac5-b2db-65c790d184a4">
      <UserInfo>
        <DisplayName>Riha, Kristin</DisplayName>
        <AccountId>2323</AccountId>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MediaLengthInSeconds xmlns="7ca2beb3-1377-461b-b2b4-dd4dfd030764" xsi:nil="true"/>
  </documentManagement>
</p:properties>
</file>

<file path=customXml/itemProps1.xml><?xml version="1.0" encoding="utf-8"?>
<ds:datastoreItem xmlns:ds="http://schemas.openxmlformats.org/officeDocument/2006/customXml" ds:itemID="{0ED4262E-F563-4B5C-8285-F686D405AFC9}">
  <ds:schemaRefs>
    <ds:schemaRef ds:uri="http://schemas.openxmlformats.org/officeDocument/2006/bibliography"/>
  </ds:schemaRefs>
</ds:datastoreItem>
</file>

<file path=customXml/itemProps2.xml><?xml version="1.0" encoding="utf-8"?>
<ds:datastoreItem xmlns:ds="http://schemas.openxmlformats.org/officeDocument/2006/customXml" ds:itemID="{FAEDE5F4-BA15-46AC-969E-ECE087C7D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7ca2beb3-1377-461b-b2b4-dd4dfd030764"/>
    <ds:schemaRef ds:uri="22d004a6-2f8d-4a75-9f1d-859e2ae55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769881-E928-4619-A301-E918F4D8992E}">
  <ds:schemaRefs>
    <ds:schemaRef ds:uri="Microsoft.SharePoint.Taxonomy.ContentTypeSync"/>
  </ds:schemaRefs>
</ds:datastoreItem>
</file>

<file path=customXml/itemProps4.xml><?xml version="1.0" encoding="utf-8"?>
<ds:datastoreItem xmlns:ds="http://schemas.openxmlformats.org/officeDocument/2006/customXml" ds:itemID="{61F6E2E5-8CB0-4572-B433-AF99B6CAD073}">
  <ds:schemaRefs>
    <ds:schemaRef ds:uri="http://schemas.microsoft.com/sharepoint/v3/contenttype/forms"/>
  </ds:schemaRefs>
</ds:datastoreItem>
</file>

<file path=customXml/itemProps5.xml><?xml version="1.0" encoding="utf-8"?>
<ds:datastoreItem xmlns:ds="http://schemas.openxmlformats.org/officeDocument/2006/customXml" ds:itemID="{FBE8C51B-96D0-44C2-9DC5-362BB69A99A6}">
  <ds:schemaRefs>
    <ds:schemaRef ds:uri="http://purl.org/dc/dcmitype/"/>
    <ds:schemaRef ds:uri="http://purl.org/dc/elements/1.1/"/>
    <ds:schemaRef ds:uri="http://schemas.microsoft.com/office/2006/metadata/properties"/>
    <ds:schemaRef ds:uri="http://schemas.microsoft.com/sharepoint/v3"/>
    <ds:schemaRef ds:uri="http://schemas.microsoft.com/sharepoint/v3/fields"/>
    <ds:schemaRef ds:uri="http://purl.org/dc/terms/"/>
    <ds:schemaRef ds:uri="4ffa91fb-a0ff-4ac5-b2db-65c790d184a4"/>
    <ds:schemaRef ds:uri="http://schemas.microsoft.com/office/2006/documentManagement/types"/>
    <ds:schemaRef ds:uri="22d004a6-2f8d-4a75-9f1d-859e2ae55add"/>
    <ds:schemaRef ds:uri="http://schemas.microsoft.com/office/infopath/2007/PartnerControls"/>
    <ds:schemaRef ds:uri="http://schemas.openxmlformats.org/package/2006/metadata/core-properties"/>
    <ds:schemaRef ds:uri="7ca2beb3-1377-461b-b2b4-dd4dfd030764"/>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Report .dotx</Template>
  <TotalTime>1</TotalTime>
  <Pages>9</Pages>
  <Words>2227</Words>
  <Characters>12696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Scarlett, Tammy</dc:creator>
  <cp:keywords/>
  <cp:lastModifiedBy>Jeffrey Gabler</cp:lastModifiedBy>
  <cp:revision>2</cp:revision>
  <cp:lastPrinted>2019-12-04T22:49:00Z</cp:lastPrinted>
  <dcterms:created xsi:type="dcterms:W3CDTF">2024-11-12T17:35:00Z</dcterms:created>
  <dcterms:modified xsi:type="dcterms:W3CDTF">2024-11-12T17:35:00Z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y fmtid="{D5CDD505-2E9C-101B-9397-08002B2CF9AE}" pid="3" name="ContentTypeId">
    <vt:lpwstr>0x010100B8D1AE864022FC4AB1940C9ACBC18425</vt:lpwstr>
  </property>
  <property fmtid="{D5CDD505-2E9C-101B-9397-08002B2CF9AE}" pid="4" name="TaxKeyword">
    <vt:lpwstr/>
  </property>
  <property fmtid="{D5CDD505-2E9C-101B-9397-08002B2CF9AE}" pid="5" name="EPA Subject">
    <vt:lpwstr/>
  </property>
  <property fmtid="{D5CDD505-2E9C-101B-9397-08002B2CF9AE}" pid="6" name="Document Type">
    <vt:lpwstr/>
  </property>
  <property fmtid="{D5CDD505-2E9C-101B-9397-08002B2CF9AE}" pid="7" name="Order">
    <vt:r8>965200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