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5A7FFA" w14:textId="58253F3D" w:rsidR="00294049" w:rsidRDefault="005D7682" w:rsidP="006712A3">
      <w:pPr>
        <w:spacing w:after="0"/>
        <w:jc w:val="center"/>
        <w:rPr>
          <w:rFonts w:ascii="Articulate Narrow" w:eastAsia="+mn-ea" w:hAnsi="Articulate Narrow" w:cstheme="minorHAnsi"/>
          <w:b/>
          <w:bCs/>
          <w:noProof/>
          <w:kern w:val="24"/>
          <w:sz w:val="48"/>
          <w:szCs w:val="48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150527" wp14:editId="0176D84F">
                <wp:simplePos x="0" y="0"/>
                <wp:positionH relativeFrom="margin">
                  <wp:posOffset>4972050</wp:posOffset>
                </wp:positionH>
                <wp:positionV relativeFrom="paragraph">
                  <wp:posOffset>219710</wp:posOffset>
                </wp:positionV>
                <wp:extent cx="1885950" cy="0"/>
                <wp:effectExtent l="0" t="0" r="0" b="0"/>
                <wp:wrapNone/>
                <wp:docPr id="6" name="Straight Connector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859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6DC15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AC0679D" id="Straight Connector 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391.5pt,17.3pt" to="540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" strokecolor="#6dc15f" strokeweight="1.5pt">
                <v:stroke joinstyle="miter"/>
                <w10:wrap anchorx="margin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BEA6E4" wp14:editId="4F9420FB">
                <wp:simplePos x="0" y="0"/>
                <wp:positionH relativeFrom="margin">
                  <wp:posOffset>0</wp:posOffset>
                </wp:positionH>
                <wp:positionV relativeFrom="paragraph">
                  <wp:posOffset>222250</wp:posOffset>
                </wp:positionV>
                <wp:extent cx="1885950" cy="0"/>
                <wp:effectExtent l="0" t="0" r="0" b="0"/>
                <wp:wrapNone/>
                <wp:docPr id="4" name="Straight Connector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859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6DC15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CB4AACD" id="Straight Connector 4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17.5pt" to="148.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" strokecolor="#6dc15f" strokeweight="1.5pt">
                <v:stroke joinstyle="miter"/>
                <w10:wrap anchorx="margin"/>
              </v:line>
            </w:pict>
          </mc:Fallback>
        </mc:AlternateContent>
      </w:r>
      <w:r w:rsidR="00B6240D">
        <w:rPr>
          <w:rFonts w:ascii="Articulate Narrow" w:eastAsia="+mn-ea" w:hAnsi="Articulate Narrow" w:cstheme="minorHAnsi"/>
          <w:b/>
          <w:bCs/>
          <w:noProof/>
          <w:kern w:val="24"/>
          <w:sz w:val="48"/>
          <w:szCs w:val="48"/>
        </w:rPr>
        <w:t>Performance Testing</w:t>
      </w:r>
    </w:p>
    <w:p w14:paraId="384706BD" w14:textId="3F8E9C6B" w:rsidR="009B0DFE" w:rsidRPr="009B0DFE" w:rsidRDefault="009B0DFE" w:rsidP="009B0DFE">
      <w:pPr>
        <w:rPr>
          <w:rFonts w:ascii="Articulate Narrow" w:eastAsia="+mn-ea" w:hAnsi="Articulate Narrow" w:cstheme="minorHAnsi"/>
          <w:b/>
          <w:bCs/>
          <w:noProof/>
          <w:kern w:val="24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-4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01"/>
        <w:gridCol w:w="424"/>
        <w:gridCol w:w="6565"/>
      </w:tblGrid>
      <w:tr w:rsidR="006712A3" w14:paraId="5C8407C3" w14:textId="77777777" w:rsidTr="006712A3">
        <w:trPr>
          <w:trHeight w:val="2064"/>
        </w:trPr>
        <w:tc>
          <w:tcPr>
            <w:tcW w:w="3801" w:type="dxa"/>
            <w:shd w:val="clear" w:color="auto" w:fill="ACDCA4"/>
            <w:vAlign w:val="center"/>
          </w:tcPr>
          <w:p w14:paraId="47CB5A05" w14:textId="31F12C11" w:rsidR="006712A3" w:rsidRDefault="006712A3" w:rsidP="009B0DFE">
            <w:pPr>
              <w:jc w:val="center"/>
              <w:rPr>
                <w:rFonts w:ascii="Articulate Narrow" w:eastAsia="+mn-ea" w:hAnsi="Articulate Narrow" w:cstheme="minorHAnsi"/>
                <w:b/>
                <w:bCs/>
                <w:noProof/>
                <w:kern w:val="24"/>
                <w:sz w:val="48"/>
                <w:szCs w:val="48"/>
              </w:rPr>
            </w:pPr>
            <w:r w:rsidRPr="006A2C28">
              <w:rPr>
                <w:rFonts w:ascii="Arial Narrow" w:hAnsi="Arial Narrow"/>
                <w:b/>
                <w:bCs/>
                <w:sz w:val="40"/>
                <w:szCs w:val="40"/>
              </w:rPr>
              <w:t>Why is Performance Testing Performed?</w:t>
            </w:r>
          </w:p>
        </w:tc>
        <w:tc>
          <w:tcPr>
            <w:tcW w:w="424" w:type="dxa"/>
          </w:tcPr>
          <w:p w14:paraId="0E76D0DA" w14:textId="77777777" w:rsidR="006712A3" w:rsidRPr="00DA0F97" w:rsidRDefault="006712A3" w:rsidP="006712A3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6565" w:type="dxa"/>
          </w:tcPr>
          <w:p w14:paraId="653EA0EA" w14:textId="77777777" w:rsidR="006712A3" w:rsidRDefault="006712A3" w:rsidP="006712A3">
            <w:pPr>
              <w:rPr>
                <w:rFonts w:ascii="Arial Narrow" w:hAnsi="Arial Narrow"/>
                <w:sz w:val="28"/>
                <w:szCs w:val="28"/>
              </w:rPr>
            </w:pPr>
          </w:p>
          <w:p w14:paraId="753DBCE1" w14:textId="06F0F6F4" w:rsidR="006712A3" w:rsidRDefault="006712A3" w:rsidP="006712A3">
            <w:pPr>
              <w:rPr>
                <w:rFonts w:ascii="Articulate Narrow" w:eastAsia="+mn-ea" w:hAnsi="Articulate Narrow" w:cstheme="minorHAnsi"/>
                <w:b/>
                <w:bCs/>
                <w:noProof/>
                <w:kern w:val="24"/>
                <w:sz w:val="48"/>
                <w:szCs w:val="48"/>
              </w:rPr>
            </w:pPr>
            <w:r w:rsidRPr="00DA0F97">
              <w:rPr>
                <w:rFonts w:ascii="Arial Narrow" w:hAnsi="Arial Narrow"/>
                <w:sz w:val="28"/>
                <w:szCs w:val="28"/>
              </w:rPr>
              <w:t>Performance Testing is performed to determine the compliance status of a source. Continuous emission monitoring systems (CEMS) performance evaluations are performed to certify that an installed CEMS is operating properly.</w:t>
            </w:r>
          </w:p>
        </w:tc>
      </w:tr>
    </w:tbl>
    <w:p w14:paraId="68FA3448" w14:textId="77777777" w:rsidR="006712A3" w:rsidRDefault="006712A3" w:rsidP="009B0DFE">
      <w:pPr>
        <w:rPr>
          <w:rFonts w:ascii="Arial Narrow" w:hAnsi="Arial Narrow"/>
          <w:sz w:val="28"/>
          <w:szCs w:val="28"/>
        </w:rPr>
      </w:pPr>
    </w:p>
    <w:p w14:paraId="2CF505AD" w14:textId="7D4A1BE2" w:rsidR="009B0DFE" w:rsidRPr="00DA0F97" w:rsidRDefault="009B0DFE" w:rsidP="009B0DFE">
      <w:pPr>
        <w:rPr>
          <w:rFonts w:ascii="Arial Narrow" w:hAnsi="Arial Narrow"/>
          <w:sz w:val="28"/>
          <w:szCs w:val="28"/>
        </w:rPr>
      </w:pPr>
      <w:r w:rsidRPr="00DA0F97">
        <w:rPr>
          <w:rFonts w:ascii="Arial Narrow" w:hAnsi="Arial Narrow"/>
          <w:sz w:val="28"/>
          <w:szCs w:val="28"/>
        </w:rPr>
        <w:t>From the time of initial plant start-up, a time frame is set up by which the facility must conduct both performance (compliance) tests and a performance specification test (PST). While the actual date that the performance test must be conducted is not specified, it must meet the following timelines under 40 CFR Part 60:</w:t>
      </w:r>
    </w:p>
    <w:p w14:paraId="4EE79A15" w14:textId="77777777" w:rsidR="009B0DFE" w:rsidRPr="00DA0F97" w:rsidRDefault="009B0DFE" w:rsidP="009B0DFE">
      <w:pPr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DA0F97">
        <w:rPr>
          <w:rFonts w:ascii="Arial Narrow" w:hAnsi="Arial Narrow"/>
          <w:sz w:val="28"/>
          <w:szCs w:val="28"/>
        </w:rPr>
        <w:t xml:space="preserve">The performance tests and report must be </w:t>
      </w:r>
      <w:r w:rsidRPr="00DA0F97">
        <w:rPr>
          <w:rFonts w:ascii="Arial Narrow" w:hAnsi="Arial Narrow"/>
          <w:b/>
          <w:bCs/>
          <w:sz w:val="28"/>
          <w:szCs w:val="28"/>
        </w:rPr>
        <w:t>completed</w:t>
      </w:r>
      <w:r w:rsidRPr="00DA0F97">
        <w:rPr>
          <w:rFonts w:ascii="Arial Narrow" w:hAnsi="Arial Narrow"/>
          <w:sz w:val="28"/>
          <w:szCs w:val="28"/>
        </w:rPr>
        <w:t xml:space="preserve"> and </w:t>
      </w:r>
      <w:r w:rsidRPr="00DA0F97">
        <w:rPr>
          <w:rFonts w:ascii="Arial Narrow" w:hAnsi="Arial Narrow"/>
          <w:b/>
          <w:bCs/>
          <w:sz w:val="28"/>
          <w:szCs w:val="28"/>
        </w:rPr>
        <w:t>submitted</w:t>
      </w:r>
      <w:r w:rsidRPr="00DA0F97">
        <w:rPr>
          <w:rFonts w:ascii="Arial Narrow" w:hAnsi="Arial Narrow"/>
          <w:sz w:val="28"/>
          <w:szCs w:val="28"/>
        </w:rPr>
        <w:t xml:space="preserve"> to EPA within 60 days after achieving the maximum production rate, or</w:t>
      </w:r>
    </w:p>
    <w:p w14:paraId="260F0879" w14:textId="77777777" w:rsidR="009B0DFE" w:rsidRPr="00DA0F97" w:rsidRDefault="009B0DFE" w:rsidP="009B0DFE">
      <w:pPr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DA0F97">
        <w:rPr>
          <w:rFonts w:ascii="Arial Narrow" w:hAnsi="Arial Narrow"/>
          <w:sz w:val="28"/>
          <w:szCs w:val="28"/>
        </w:rPr>
        <w:t xml:space="preserve">The performance test AND report must be </w:t>
      </w:r>
      <w:r w:rsidRPr="00DA0F97">
        <w:rPr>
          <w:rFonts w:ascii="Arial Narrow" w:hAnsi="Arial Narrow"/>
          <w:b/>
          <w:bCs/>
          <w:sz w:val="28"/>
          <w:szCs w:val="28"/>
        </w:rPr>
        <w:t>completed</w:t>
      </w:r>
      <w:r w:rsidRPr="00DA0F97">
        <w:rPr>
          <w:rFonts w:ascii="Arial Narrow" w:hAnsi="Arial Narrow"/>
          <w:sz w:val="28"/>
          <w:szCs w:val="28"/>
        </w:rPr>
        <w:t xml:space="preserve"> and </w:t>
      </w:r>
      <w:r w:rsidRPr="00DA0F97">
        <w:rPr>
          <w:rFonts w:ascii="Arial Narrow" w:hAnsi="Arial Narrow"/>
          <w:b/>
          <w:bCs/>
          <w:sz w:val="28"/>
          <w:szCs w:val="28"/>
        </w:rPr>
        <w:t>submitted</w:t>
      </w:r>
      <w:r w:rsidRPr="00DA0F97">
        <w:rPr>
          <w:rFonts w:ascii="Arial Narrow" w:hAnsi="Arial Narrow"/>
          <w:sz w:val="28"/>
          <w:szCs w:val="28"/>
        </w:rPr>
        <w:t xml:space="preserve"> to EPA by the 180</w:t>
      </w:r>
      <w:r w:rsidRPr="00DA0F97">
        <w:rPr>
          <w:rFonts w:ascii="Arial Narrow" w:hAnsi="Arial Narrow"/>
          <w:sz w:val="28"/>
          <w:szCs w:val="28"/>
          <w:vertAlign w:val="superscript"/>
        </w:rPr>
        <w:t>th</w:t>
      </w:r>
      <w:r w:rsidRPr="00DA0F97">
        <w:rPr>
          <w:rFonts w:ascii="Arial Narrow" w:hAnsi="Arial Narrow"/>
          <w:sz w:val="28"/>
          <w:szCs w:val="28"/>
        </w:rPr>
        <w:t xml:space="preserve"> day, whichever is earlier.  </w:t>
      </w:r>
    </w:p>
    <w:p w14:paraId="1A59640C" w14:textId="2F53C5BE" w:rsidR="009B0DFE" w:rsidRDefault="005E71E7">
      <w:pPr>
        <w:rPr>
          <w:rFonts w:ascii="Arial Narrow" w:hAnsi="Arial Narrow"/>
          <w:sz w:val="28"/>
          <w:szCs w:val="28"/>
        </w:rPr>
      </w:pPr>
      <w:r w:rsidRPr="00B6240D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0DE128AD" wp14:editId="2C8F19CD">
                <wp:extent cx="6800850" cy="407670"/>
                <wp:effectExtent l="0" t="0" r="0" b="0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0850" cy="407670"/>
                        </a:xfrm>
                        <a:prstGeom prst="rect">
                          <a:avLst/>
                        </a:prstGeom>
                        <a:solidFill>
                          <a:srgbClr val="ACDCA4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1385DE" w14:textId="77777777" w:rsidR="005E71E7" w:rsidRPr="006A2C28" w:rsidRDefault="005E71E7" w:rsidP="005E71E7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DA0F97">
                              <w:rPr>
                                <w:rFonts w:ascii="Arial Narrow" w:hAnsi="Arial Narrow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Important CFR Information 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40"/>
                                <w:szCs w:val="40"/>
                              </w:rPr>
                              <w:t>R</w:t>
                            </w:r>
                            <w:r w:rsidRPr="00DA0F97">
                              <w:rPr>
                                <w:rFonts w:ascii="Arial Narrow" w:hAnsi="Arial Narrow"/>
                                <w:b/>
                                <w:bCs/>
                                <w:sz w:val="40"/>
                                <w:szCs w:val="40"/>
                              </w:rPr>
                              <w:t>elated to Performance Testing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DE128A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535.5pt;height:3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" fillcolor="#acdca4" stroked="f">
                <v:textbox>
                  <w:txbxContent>
                    <w:p w14:paraId="5D1385DE" w14:textId="77777777" w:rsidR="005E71E7" w:rsidRPr="006A2C28" w:rsidRDefault="005E71E7" w:rsidP="005E71E7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sz w:val="40"/>
                          <w:szCs w:val="40"/>
                        </w:rPr>
                      </w:pPr>
                      <w:r w:rsidRPr="00DA0F97">
                        <w:rPr>
                          <w:rFonts w:ascii="Arial Narrow" w:hAnsi="Arial Narrow"/>
                          <w:b/>
                          <w:bCs/>
                          <w:sz w:val="40"/>
                          <w:szCs w:val="40"/>
                        </w:rPr>
                        <w:t xml:space="preserve">Important CFR Information </w:t>
                      </w:r>
                      <w:r>
                        <w:rPr>
                          <w:rFonts w:ascii="Arial Narrow" w:hAnsi="Arial Narrow"/>
                          <w:b/>
                          <w:bCs/>
                          <w:sz w:val="40"/>
                          <w:szCs w:val="40"/>
                        </w:rPr>
                        <w:t>R</w:t>
                      </w:r>
                      <w:r w:rsidRPr="00DA0F97">
                        <w:rPr>
                          <w:rFonts w:ascii="Arial Narrow" w:hAnsi="Arial Narrow"/>
                          <w:b/>
                          <w:bCs/>
                          <w:sz w:val="40"/>
                          <w:szCs w:val="40"/>
                        </w:rPr>
                        <w:t>elated to Performance Testing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Style w:val="TableGrid"/>
        <w:tblW w:w="10610" w:type="dxa"/>
        <w:tblInd w:w="175" w:type="dxa"/>
        <w:tblBorders>
          <w:top w:val="single" w:sz="12" w:space="0" w:color="70AD47" w:themeColor="accent6"/>
          <w:left w:val="single" w:sz="12" w:space="0" w:color="70AD47" w:themeColor="accent6"/>
          <w:bottom w:val="single" w:sz="12" w:space="0" w:color="70AD47" w:themeColor="accent6"/>
          <w:right w:val="single" w:sz="12" w:space="0" w:color="70AD47" w:themeColor="accent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0"/>
        <w:gridCol w:w="8280"/>
      </w:tblGrid>
      <w:tr w:rsidR="00C432FF" w:rsidRPr="00C432FF" w14:paraId="4CD8C8A1" w14:textId="77777777" w:rsidTr="00E94117">
        <w:tc>
          <w:tcPr>
            <w:tcW w:w="2330" w:type="dxa"/>
          </w:tcPr>
          <w:p w14:paraId="1367BFFB" w14:textId="60F3A46C" w:rsidR="005D7682" w:rsidRPr="00C432FF" w:rsidRDefault="005D7682">
            <w:pPr>
              <w:rPr>
                <w:rFonts w:ascii="Arial Narrow" w:hAnsi="Arial Narrow"/>
                <w:sz w:val="28"/>
                <w:szCs w:val="28"/>
              </w:rPr>
            </w:pPr>
            <w:r w:rsidRPr="00C432FF">
              <w:rPr>
                <w:rFonts w:ascii="Arial Narrow" w:hAnsi="Arial Narrow"/>
                <w:b/>
                <w:bCs/>
                <w:sz w:val="32"/>
                <w:szCs w:val="32"/>
              </w:rPr>
              <w:t>40 CFR Part 61</w:t>
            </w:r>
          </w:p>
        </w:tc>
        <w:tc>
          <w:tcPr>
            <w:tcW w:w="8280" w:type="dxa"/>
          </w:tcPr>
          <w:p w14:paraId="52F17DC6" w14:textId="1CC42C71" w:rsidR="005D7682" w:rsidRPr="00C432FF" w:rsidRDefault="005D7682" w:rsidP="005D7682">
            <w:pPr>
              <w:rPr>
                <w:rFonts w:ascii="Arial Narrow" w:hAnsi="Arial Narrow"/>
                <w:sz w:val="28"/>
                <w:szCs w:val="28"/>
              </w:rPr>
            </w:pPr>
            <w:r w:rsidRPr="00C432FF">
              <w:rPr>
                <w:rFonts w:ascii="Arial Narrow" w:hAnsi="Arial Narrow"/>
                <w:sz w:val="28"/>
                <w:szCs w:val="28"/>
              </w:rPr>
              <w:t>Requires that the test must be conducted within 90 days of initial startup and the test report must be submitted within 31 days after the test is complete.</w:t>
            </w:r>
          </w:p>
          <w:p w14:paraId="0E3CC831" w14:textId="77777777" w:rsidR="005D7682" w:rsidRPr="00C432FF" w:rsidRDefault="005D7682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C432FF" w:rsidRPr="00C432FF" w14:paraId="36660BEC" w14:textId="77777777" w:rsidTr="00E94117">
        <w:tc>
          <w:tcPr>
            <w:tcW w:w="2330" w:type="dxa"/>
          </w:tcPr>
          <w:p w14:paraId="249C8352" w14:textId="10B437C9" w:rsidR="005D7682" w:rsidRPr="00C432FF" w:rsidRDefault="005D7682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C432FF">
              <w:rPr>
                <w:rFonts w:ascii="Arial Narrow" w:hAnsi="Arial Narrow"/>
                <w:b/>
                <w:bCs/>
                <w:sz w:val="32"/>
                <w:szCs w:val="32"/>
              </w:rPr>
              <w:t>40 CFR Part 63</w:t>
            </w:r>
          </w:p>
        </w:tc>
        <w:tc>
          <w:tcPr>
            <w:tcW w:w="8280" w:type="dxa"/>
          </w:tcPr>
          <w:p w14:paraId="5C9F295A" w14:textId="4D0426C9" w:rsidR="005D7682" w:rsidRPr="00C432FF" w:rsidRDefault="002D59D4" w:rsidP="005D7682">
            <w:pPr>
              <w:rPr>
                <w:rFonts w:ascii="Arial Narrow" w:hAnsi="Arial Narrow"/>
                <w:sz w:val="28"/>
                <w:szCs w:val="28"/>
              </w:rPr>
            </w:pPr>
            <w:r w:rsidRPr="00C432FF">
              <w:rPr>
                <w:rFonts w:ascii="Arial Narrow" w:hAnsi="Arial Narrow"/>
                <w:sz w:val="28"/>
                <w:szCs w:val="28"/>
              </w:rPr>
              <w:t>R</w:t>
            </w:r>
            <w:r w:rsidR="005D7682" w:rsidRPr="00C432FF">
              <w:rPr>
                <w:rFonts w:ascii="Arial Narrow" w:hAnsi="Arial Narrow"/>
                <w:sz w:val="28"/>
                <w:szCs w:val="28"/>
              </w:rPr>
              <w:t>equires that the test must be conducted within</w:t>
            </w:r>
            <w:r w:rsidRPr="00C432FF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="005D7682" w:rsidRPr="00C432FF">
              <w:rPr>
                <w:rFonts w:ascii="Arial Narrow" w:hAnsi="Arial Narrow"/>
                <w:sz w:val="28"/>
                <w:szCs w:val="28"/>
              </w:rPr>
              <w:t>180</w:t>
            </w:r>
            <w:r w:rsidRPr="00C432FF">
              <w:rPr>
                <w:rFonts w:ascii="Arial Narrow" w:hAnsi="Arial Narrow"/>
                <w:sz w:val="28"/>
                <w:szCs w:val="28"/>
              </w:rPr>
              <w:t xml:space="preserve"> days</w:t>
            </w:r>
            <w:r w:rsidR="005D7682" w:rsidRPr="00C432FF">
              <w:rPr>
                <w:rFonts w:ascii="Arial Narrow" w:hAnsi="Arial Narrow"/>
                <w:sz w:val="28"/>
                <w:szCs w:val="28"/>
              </w:rPr>
              <w:t xml:space="preserve"> of initial startup (for new sources) or 3 years and 180 days (for existing sources)</w:t>
            </w:r>
            <w:r w:rsidRPr="00C432FF">
              <w:rPr>
                <w:rFonts w:ascii="Arial Narrow" w:hAnsi="Arial Narrow"/>
                <w:sz w:val="28"/>
                <w:szCs w:val="28"/>
              </w:rPr>
              <w:t>. The</w:t>
            </w:r>
            <w:r w:rsidR="005D7682" w:rsidRPr="00C432FF">
              <w:rPr>
                <w:rFonts w:ascii="Arial Narrow" w:hAnsi="Arial Narrow"/>
                <w:sz w:val="28"/>
                <w:szCs w:val="28"/>
              </w:rPr>
              <w:t xml:space="preserve"> test report must be submitted within 60 days after the test is completed.  </w:t>
            </w:r>
          </w:p>
          <w:p w14:paraId="2366B622" w14:textId="77777777" w:rsidR="005D7682" w:rsidRPr="00C432FF" w:rsidRDefault="005D7682" w:rsidP="005D7682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C432FF" w:rsidRPr="00C432FF" w14:paraId="5F2E6208" w14:textId="77777777" w:rsidTr="00E94117">
        <w:tc>
          <w:tcPr>
            <w:tcW w:w="2330" w:type="dxa"/>
          </w:tcPr>
          <w:p w14:paraId="2713F3ED" w14:textId="7770641F" w:rsidR="005D7682" w:rsidRPr="00C432FF" w:rsidRDefault="005D7682">
            <w:pPr>
              <w:rPr>
                <w:rFonts w:ascii="Arial Narrow" w:hAnsi="Arial Narrow"/>
                <w:b/>
                <w:bCs/>
                <w:sz w:val="32"/>
                <w:szCs w:val="32"/>
              </w:rPr>
            </w:pPr>
            <w:r w:rsidRPr="00C432FF">
              <w:rPr>
                <w:rFonts w:ascii="Arial Narrow" w:hAnsi="Arial Narrow"/>
                <w:b/>
                <w:bCs/>
                <w:sz w:val="32"/>
                <w:szCs w:val="32"/>
              </w:rPr>
              <w:t>40 CFR 60.13</w:t>
            </w:r>
          </w:p>
        </w:tc>
        <w:tc>
          <w:tcPr>
            <w:tcW w:w="8280" w:type="dxa"/>
          </w:tcPr>
          <w:p w14:paraId="605B9CF1" w14:textId="45D1EEB9" w:rsidR="005D7682" w:rsidRPr="00C432FF" w:rsidRDefault="002D59D4" w:rsidP="005D7682">
            <w:pPr>
              <w:rPr>
                <w:rFonts w:ascii="Arial Narrow" w:hAnsi="Arial Narrow"/>
                <w:sz w:val="28"/>
                <w:szCs w:val="28"/>
              </w:rPr>
            </w:pPr>
            <w:r w:rsidRPr="00C432FF">
              <w:rPr>
                <w:rFonts w:ascii="Arial Narrow" w:hAnsi="Arial Narrow"/>
                <w:sz w:val="28"/>
                <w:szCs w:val="28"/>
              </w:rPr>
              <w:t>R</w:t>
            </w:r>
            <w:r w:rsidR="005D7682" w:rsidRPr="00C432FF">
              <w:rPr>
                <w:rFonts w:ascii="Arial Narrow" w:hAnsi="Arial Narrow"/>
                <w:sz w:val="28"/>
                <w:szCs w:val="28"/>
              </w:rPr>
              <w:t>equire</w:t>
            </w:r>
            <w:r w:rsidRPr="00C432FF">
              <w:rPr>
                <w:rFonts w:ascii="Arial Narrow" w:hAnsi="Arial Narrow"/>
                <w:sz w:val="28"/>
                <w:szCs w:val="28"/>
              </w:rPr>
              <w:t>s</w:t>
            </w:r>
            <w:r w:rsidR="005D7682" w:rsidRPr="00C432FF">
              <w:rPr>
                <w:rFonts w:ascii="Arial Narrow" w:hAnsi="Arial Narrow"/>
                <w:sz w:val="28"/>
                <w:szCs w:val="28"/>
              </w:rPr>
              <w:t xml:space="preserve"> that </w:t>
            </w:r>
            <w:r w:rsidRPr="00C432FF">
              <w:rPr>
                <w:rFonts w:ascii="Arial Narrow" w:hAnsi="Arial Narrow"/>
                <w:sz w:val="28"/>
                <w:szCs w:val="28"/>
              </w:rPr>
              <w:t xml:space="preserve">the </w:t>
            </w:r>
            <w:r w:rsidR="005D7682" w:rsidRPr="00C432FF">
              <w:rPr>
                <w:rFonts w:ascii="Arial Narrow" w:hAnsi="Arial Narrow"/>
                <w:sz w:val="28"/>
                <w:szCs w:val="28"/>
              </w:rPr>
              <w:t>performance evaluation of CEM</w:t>
            </w:r>
            <w:r w:rsidRPr="00C432FF">
              <w:rPr>
                <w:rFonts w:ascii="Arial Narrow" w:hAnsi="Arial Narrow"/>
                <w:sz w:val="28"/>
                <w:szCs w:val="28"/>
              </w:rPr>
              <w:t>S</w:t>
            </w:r>
            <w:r w:rsidR="005D7682" w:rsidRPr="00C432FF">
              <w:rPr>
                <w:rFonts w:ascii="Arial Narrow" w:hAnsi="Arial Narrow"/>
                <w:sz w:val="28"/>
                <w:szCs w:val="28"/>
              </w:rPr>
              <w:t xml:space="preserve"> be conducted during the performance tests or within 30 days of completing the performance test.  40 CFR 63.8 requires that the performance evaluation of </w:t>
            </w:r>
            <w:r w:rsidRPr="00C432FF">
              <w:rPr>
                <w:rFonts w:ascii="Arial Narrow" w:hAnsi="Arial Narrow"/>
                <w:sz w:val="28"/>
                <w:szCs w:val="28"/>
              </w:rPr>
              <w:t>CEMS</w:t>
            </w:r>
            <w:r w:rsidR="005D7682" w:rsidRPr="00C432FF">
              <w:rPr>
                <w:rFonts w:ascii="Arial Narrow" w:hAnsi="Arial Narrow"/>
                <w:sz w:val="28"/>
                <w:szCs w:val="28"/>
              </w:rPr>
              <w:t xml:space="preserve"> be conducted during the compliance test, or if no performance is conducted, within 180 days of the compliance date. Under both </w:t>
            </w:r>
            <w:r w:rsidRPr="00C432FF">
              <w:rPr>
                <w:rFonts w:ascii="Arial Narrow" w:hAnsi="Arial Narrow"/>
                <w:sz w:val="28"/>
                <w:szCs w:val="28"/>
              </w:rPr>
              <w:t>P</w:t>
            </w:r>
            <w:r w:rsidR="005D7682" w:rsidRPr="00C432FF">
              <w:rPr>
                <w:rFonts w:ascii="Arial Narrow" w:hAnsi="Arial Narrow"/>
                <w:sz w:val="28"/>
                <w:szCs w:val="28"/>
              </w:rPr>
              <w:t>arts 60 and 63, the test report must be submitted within 60 days of completion of the test.</w:t>
            </w:r>
          </w:p>
          <w:p w14:paraId="4381A1F1" w14:textId="77777777" w:rsidR="005D7682" w:rsidRPr="00C432FF" w:rsidRDefault="005D7682" w:rsidP="005D7682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C432FF" w:rsidRPr="00C432FF" w14:paraId="46716585" w14:textId="77777777" w:rsidTr="00E94117">
        <w:tc>
          <w:tcPr>
            <w:tcW w:w="2330" w:type="dxa"/>
          </w:tcPr>
          <w:p w14:paraId="1671877C" w14:textId="05262C6D" w:rsidR="005D7682" w:rsidRPr="00C432FF" w:rsidRDefault="005D7682">
            <w:pPr>
              <w:rPr>
                <w:rFonts w:ascii="Arial Narrow" w:hAnsi="Arial Narrow"/>
                <w:b/>
                <w:bCs/>
                <w:sz w:val="32"/>
                <w:szCs w:val="32"/>
              </w:rPr>
            </w:pPr>
            <w:r w:rsidRPr="00C432FF">
              <w:rPr>
                <w:rFonts w:ascii="Arial Narrow" w:hAnsi="Arial Narrow"/>
                <w:b/>
                <w:bCs/>
                <w:sz w:val="32"/>
                <w:szCs w:val="32"/>
              </w:rPr>
              <w:t>Part 61</w:t>
            </w:r>
          </w:p>
        </w:tc>
        <w:tc>
          <w:tcPr>
            <w:tcW w:w="8280" w:type="dxa"/>
          </w:tcPr>
          <w:p w14:paraId="1C676A9A" w14:textId="316C340E" w:rsidR="005D7682" w:rsidRPr="00C432FF" w:rsidRDefault="002D59D4" w:rsidP="005D7682">
            <w:pPr>
              <w:rPr>
                <w:rFonts w:ascii="Arial Narrow" w:hAnsi="Arial Narrow"/>
                <w:sz w:val="28"/>
                <w:szCs w:val="28"/>
              </w:rPr>
            </w:pPr>
            <w:r w:rsidRPr="00C432FF">
              <w:rPr>
                <w:rFonts w:ascii="Arial Narrow" w:hAnsi="Arial Narrow"/>
                <w:sz w:val="28"/>
                <w:szCs w:val="28"/>
              </w:rPr>
              <w:t>D</w:t>
            </w:r>
            <w:r w:rsidR="005D7682" w:rsidRPr="00C432FF">
              <w:rPr>
                <w:rFonts w:ascii="Arial Narrow" w:hAnsi="Arial Narrow"/>
                <w:sz w:val="28"/>
                <w:szCs w:val="28"/>
              </w:rPr>
              <w:t xml:space="preserve">oes not have requirements for </w:t>
            </w:r>
            <w:r w:rsidRPr="00C432FF">
              <w:rPr>
                <w:rFonts w:ascii="Arial Narrow" w:hAnsi="Arial Narrow"/>
                <w:sz w:val="28"/>
                <w:szCs w:val="28"/>
              </w:rPr>
              <w:t xml:space="preserve">CEMS </w:t>
            </w:r>
            <w:r w:rsidR="005D7682" w:rsidRPr="00C432FF">
              <w:rPr>
                <w:rFonts w:ascii="Arial Narrow" w:hAnsi="Arial Narrow"/>
                <w:sz w:val="28"/>
                <w:szCs w:val="28"/>
              </w:rPr>
              <w:t xml:space="preserve">testing in the General Provisions.    </w:t>
            </w:r>
          </w:p>
        </w:tc>
      </w:tr>
    </w:tbl>
    <w:p w14:paraId="637ACBE8" w14:textId="77777777" w:rsidR="006712A3" w:rsidRDefault="006712A3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D8CA383" w14:textId="77777777" w:rsidR="00B6240D" w:rsidRDefault="00B6240D">
      <w:pPr>
        <w:rPr>
          <w:sz w:val="24"/>
          <w:szCs w:val="24"/>
        </w:rPr>
      </w:pPr>
    </w:p>
    <w:tbl>
      <w:tblPr>
        <w:tblStyle w:val="TableGrid"/>
        <w:tblW w:w="10797" w:type="dxa"/>
        <w:tblBorders>
          <w:top w:val="single" w:sz="12" w:space="0" w:color="70AD47" w:themeColor="accent6"/>
          <w:left w:val="single" w:sz="12" w:space="0" w:color="70AD47" w:themeColor="accent6"/>
          <w:bottom w:val="single" w:sz="12" w:space="0" w:color="70AD47" w:themeColor="accent6"/>
          <w:right w:val="single" w:sz="12" w:space="0" w:color="70AD47" w:themeColor="accent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5"/>
        <w:gridCol w:w="4500"/>
        <w:gridCol w:w="3612"/>
      </w:tblGrid>
      <w:tr w:rsidR="00B6240D" w:rsidRPr="00E94117" w14:paraId="46845991" w14:textId="77777777" w:rsidTr="00E94117">
        <w:trPr>
          <w:trHeight w:val="528"/>
        </w:trPr>
        <w:tc>
          <w:tcPr>
            <w:tcW w:w="2685" w:type="dxa"/>
            <w:shd w:val="clear" w:color="auto" w:fill="ACDCA4"/>
          </w:tcPr>
          <w:p w14:paraId="3E0162BC" w14:textId="77777777" w:rsidR="00B6240D" w:rsidRPr="00E94117" w:rsidRDefault="00B6240D" w:rsidP="00AD28EA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E94117">
              <w:rPr>
                <w:rFonts w:ascii="Arial Narrow" w:hAnsi="Arial Narrow"/>
                <w:b/>
                <w:bCs/>
                <w:sz w:val="28"/>
                <w:szCs w:val="28"/>
              </w:rPr>
              <w:t>Regulation</w:t>
            </w:r>
          </w:p>
        </w:tc>
        <w:tc>
          <w:tcPr>
            <w:tcW w:w="4500" w:type="dxa"/>
            <w:shd w:val="clear" w:color="auto" w:fill="ACDCA4"/>
          </w:tcPr>
          <w:p w14:paraId="56359665" w14:textId="77777777" w:rsidR="00B6240D" w:rsidRPr="00E94117" w:rsidRDefault="00B6240D" w:rsidP="00AD28EA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E94117">
              <w:rPr>
                <w:rFonts w:ascii="Arial Narrow" w:hAnsi="Arial Narrow"/>
                <w:b/>
                <w:bCs/>
                <w:sz w:val="28"/>
                <w:szCs w:val="28"/>
              </w:rPr>
              <w:t>Performance Testing</w:t>
            </w:r>
          </w:p>
        </w:tc>
        <w:tc>
          <w:tcPr>
            <w:tcW w:w="3612" w:type="dxa"/>
            <w:shd w:val="clear" w:color="auto" w:fill="ACDCA4"/>
          </w:tcPr>
          <w:p w14:paraId="60D78133" w14:textId="77777777" w:rsidR="00B6240D" w:rsidRPr="00E94117" w:rsidRDefault="00B6240D" w:rsidP="00AD28EA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E94117">
              <w:rPr>
                <w:rFonts w:ascii="Arial Narrow" w:hAnsi="Arial Narrow"/>
                <w:b/>
                <w:bCs/>
                <w:sz w:val="28"/>
                <w:szCs w:val="28"/>
              </w:rPr>
              <w:t>CEMS Performance Evaluation</w:t>
            </w:r>
          </w:p>
        </w:tc>
      </w:tr>
      <w:tr w:rsidR="00B6240D" w:rsidRPr="00E94117" w14:paraId="6EE050B7" w14:textId="77777777" w:rsidTr="00E94117">
        <w:tc>
          <w:tcPr>
            <w:tcW w:w="2685" w:type="dxa"/>
          </w:tcPr>
          <w:p w14:paraId="5E6CF9EC" w14:textId="77777777" w:rsidR="00B6240D" w:rsidRPr="00E94117" w:rsidRDefault="00B6240D" w:rsidP="00AD28EA">
            <w:pPr>
              <w:rPr>
                <w:rFonts w:ascii="Arial Narrow" w:hAnsi="Arial Narrow"/>
                <w:sz w:val="28"/>
                <w:szCs w:val="28"/>
              </w:rPr>
            </w:pPr>
            <w:r w:rsidRPr="00E94117">
              <w:rPr>
                <w:rFonts w:ascii="Arial Narrow" w:hAnsi="Arial Narrow"/>
                <w:b/>
                <w:bCs/>
                <w:sz w:val="28"/>
                <w:szCs w:val="28"/>
              </w:rPr>
              <w:t>40 CFR Part 60</w:t>
            </w:r>
          </w:p>
          <w:p w14:paraId="15BCC24E" w14:textId="77777777" w:rsidR="00B6240D" w:rsidRPr="00E94117" w:rsidRDefault="00B6240D" w:rsidP="00AD28EA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500" w:type="dxa"/>
          </w:tcPr>
          <w:p w14:paraId="0576EF93" w14:textId="4675CBDC" w:rsidR="00B6240D" w:rsidRPr="00E94117" w:rsidRDefault="00B6240D" w:rsidP="00AD28EA">
            <w:pPr>
              <w:rPr>
                <w:rFonts w:ascii="Arial Narrow" w:hAnsi="Arial Narrow"/>
                <w:sz w:val="28"/>
                <w:szCs w:val="28"/>
              </w:rPr>
            </w:pPr>
            <w:r w:rsidRPr="00E94117">
              <w:rPr>
                <w:rFonts w:ascii="Arial Narrow" w:hAnsi="Arial Narrow"/>
                <w:sz w:val="28"/>
                <w:szCs w:val="28"/>
              </w:rPr>
              <w:t>Within 60 days after achieving max production rate; no later than 180 days. Must notify regulatory agency 30 days prior to testing date. 40 CFR 60.8</w:t>
            </w:r>
          </w:p>
        </w:tc>
        <w:tc>
          <w:tcPr>
            <w:tcW w:w="3612" w:type="dxa"/>
          </w:tcPr>
          <w:p w14:paraId="3ED18796" w14:textId="79713D75" w:rsidR="00B6240D" w:rsidRPr="00E94117" w:rsidRDefault="00B6240D" w:rsidP="00AD28EA">
            <w:pPr>
              <w:rPr>
                <w:rFonts w:ascii="Arial Narrow" w:hAnsi="Arial Narrow"/>
                <w:sz w:val="28"/>
                <w:szCs w:val="28"/>
              </w:rPr>
            </w:pPr>
            <w:r w:rsidRPr="00E94117">
              <w:rPr>
                <w:rFonts w:ascii="Arial Narrow" w:hAnsi="Arial Narrow"/>
                <w:sz w:val="28"/>
                <w:szCs w:val="28"/>
              </w:rPr>
              <w:t>Within 180 days of start-up</w:t>
            </w:r>
          </w:p>
          <w:p w14:paraId="074B4D47" w14:textId="77777777" w:rsidR="00B6240D" w:rsidRPr="00E94117" w:rsidRDefault="00B6240D" w:rsidP="00AD28EA">
            <w:pPr>
              <w:rPr>
                <w:rFonts w:ascii="Arial Narrow" w:hAnsi="Arial Narrow"/>
                <w:sz w:val="28"/>
                <w:szCs w:val="28"/>
              </w:rPr>
            </w:pPr>
            <w:r w:rsidRPr="00E94117">
              <w:rPr>
                <w:rFonts w:ascii="Arial Narrow" w:hAnsi="Arial Narrow"/>
                <w:sz w:val="28"/>
                <w:szCs w:val="28"/>
              </w:rPr>
              <w:t>40 CFR 60.13</w:t>
            </w:r>
          </w:p>
        </w:tc>
      </w:tr>
      <w:tr w:rsidR="00B6240D" w:rsidRPr="00E94117" w14:paraId="1CFA1B9B" w14:textId="77777777" w:rsidTr="00E94117">
        <w:tc>
          <w:tcPr>
            <w:tcW w:w="2685" w:type="dxa"/>
          </w:tcPr>
          <w:p w14:paraId="2E8577F7" w14:textId="77777777" w:rsidR="00B6240D" w:rsidRPr="00E94117" w:rsidRDefault="00B6240D" w:rsidP="00AD28EA">
            <w:pPr>
              <w:rPr>
                <w:rFonts w:ascii="Arial Narrow" w:hAnsi="Arial Narrow"/>
                <w:sz w:val="28"/>
                <w:szCs w:val="28"/>
              </w:rPr>
            </w:pPr>
            <w:r w:rsidRPr="00E94117">
              <w:rPr>
                <w:rFonts w:ascii="Arial Narrow" w:hAnsi="Arial Narrow"/>
                <w:b/>
                <w:bCs/>
                <w:sz w:val="28"/>
                <w:szCs w:val="28"/>
              </w:rPr>
              <w:t>40 CFR Part 61</w:t>
            </w:r>
          </w:p>
          <w:p w14:paraId="5157FF65" w14:textId="77777777" w:rsidR="00B6240D" w:rsidRPr="00E94117" w:rsidRDefault="00B6240D" w:rsidP="00AD28EA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500" w:type="dxa"/>
          </w:tcPr>
          <w:p w14:paraId="37ED962A" w14:textId="07BFE88A" w:rsidR="00B6240D" w:rsidRPr="00E94117" w:rsidRDefault="00B6240D" w:rsidP="00AD28EA">
            <w:pPr>
              <w:rPr>
                <w:rFonts w:ascii="Arial Narrow" w:hAnsi="Arial Narrow"/>
                <w:sz w:val="28"/>
                <w:szCs w:val="28"/>
              </w:rPr>
            </w:pPr>
            <w:r w:rsidRPr="00E94117">
              <w:rPr>
                <w:rFonts w:ascii="Arial Narrow" w:hAnsi="Arial Narrow"/>
                <w:sz w:val="28"/>
                <w:szCs w:val="28"/>
              </w:rPr>
              <w:t xml:space="preserve">Within 90 days of startup. Must notify regulatory agency 30 days prior to testing date. </w:t>
            </w:r>
            <w:r w:rsidRPr="00E94117">
              <w:rPr>
                <w:rFonts w:ascii="Arial Narrow" w:hAnsi="Arial Narrow"/>
                <w:b/>
                <w:bCs/>
                <w:sz w:val="28"/>
                <w:szCs w:val="28"/>
              </w:rPr>
              <w:t>40 CFR 61.13</w:t>
            </w:r>
          </w:p>
          <w:p w14:paraId="30A6A63F" w14:textId="77777777" w:rsidR="00B6240D" w:rsidRPr="00E94117" w:rsidRDefault="00B6240D" w:rsidP="00AD28EA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3612" w:type="dxa"/>
          </w:tcPr>
          <w:p w14:paraId="04448253" w14:textId="1F538188" w:rsidR="00B6240D" w:rsidRPr="00E94117" w:rsidRDefault="00B6240D" w:rsidP="00AD28EA">
            <w:pPr>
              <w:rPr>
                <w:rFonts w:ascii="Arial Narrow" w:hAnsi="Arial Narrow"/>
                <w:sz w:val="28"/>
                <w:szCs w:val="28"/>
              </w:rPr>
            </w:pPr>
            <w:r w:rsidRPr="00E94117">
              <w:rPr>
                <w:rFonts w:ascii="Arial Narrow" w:hAnsi="Arial Narrow"/>
                <w:sz w:val="28"/>
                <w:szCs w:val="28"/>
              </w:rPr>
              <w:t>Within 180 days of start-up</w:t>
            </w:r>
          </w:p>
          <w:p w14:paraId="53486FE9" w14:textId="77777777" w:rsidR="00B6240D" w:rsidRPr="00E94117" w:rsidRDefault="00B6240D" w:rsidP="00AD28EA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B6240D" w:rsidRPr="00E94117" w14:paraId="2211855A" w14:textId="77777777" w:rsidTr="00E94117">
        <w:tc>
          <w:tcPr>
            <w:tcW w:w="2685" w:type="dxa"/>
          </w:tcPr>
          <w:p w14:paraId="4201DA9B" w14:textId="77777777" w:rsidR="00B6240D" w:rsidRPr="00E94117" w:rsidRDefault="00B6240D" w:rsidP="00AD28EA">
            <w:pPr>
              <w:rPr>
                <w:rFonts w:ascii="Arial Narrow" w:hAnsi="Arial Narrow"/>
                <w:sz w:val="28"/>
                <w:szCs w:val="28"/>
              </w:rPr>
            </w:pPr>
            <w:r w:rsidRPr="00E94117">
              <w:rPr>
                <w:rFonts w:ascii="Arial Narrow" w:hAnsi="Arial Narrow"/>
                <w:b/>
                <w:bCs/>
                <w:sz w:val="28"/>
                <w:szCs w:val="28"/>
              </w:rPr>
              <w:t>40 CFR Part 63</w:t>
            </w:r>
          </w:p>
          <w:p w14:paraId="5C2C4938" w14:textId="77777777" w:rsidR="00B6240D" w:rsidRPr="00E94117" w:rsidRDefault="00B6240D" w:rsidP="00AD28EA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500" w:type="dxa"/>
          </w:tcPr>
          <w:p w14:paraId="2A01CC2D" w14:textId="7177E32F" w:rsidR="00B6240D" w:rsidRPr="00E94117" w:rsidRDefault="00B6240D" w:rsidP="00AD28EA">
            <w:pPr>
              <w:rPr>
                <w:rFonts w:ascii="Arial Narrow" w:hAnsi="Arial Narrow"/>
                <w:sz w:val="28"/>
                <w:szCs w:val="28"/>
              </w:rPr>
            </w:pPr>
            <w:r w:rsidRPr="00E94117">
              <w:rPr>
                <w:rFonts w:ascii="Arial Narrow" w:hAnsi="Arial Narrow"/>
                <w:sz w:val="28"/>
                <w:szCs w:val="28"/>
              </w:rPr>
              <w:t xml:space="preserve">Within 180 days after initial startup. Must notify regulatory agency 60 calendar days prior to testing date. </w:t>
            </w:r>
            <w:r w:rsidRPr="00E94117">
              <w:rPr>
                <w:rFonts w:ascii="Arial Narrow" w:hAnsi="Arial Narrow"/>
                <w:b/>
                <w:bCs/>
                <w:sz w:val="28"/>
                <w:szCs w:val="28"/>
              </w:rPr>
              <w:t>40 CFR 63</w:t>
            </w:r>
            <w:r w:rsidRPr="00E94117">
              <w:rPr>
                <w:rFonts w:ascii="Arial Narrow" w:hAnsi="Arial Narrow"/>
                <w:sz w:val="28"/>
                <w:szCs w:val="28"/>
              </w:rPr>
              <w:t>.</w:t>
            </w:r>
          </w:p>
          <w:p w14:paraId="2202A43B" w14:textId="77777777" w:rsidR="00B6240D" w:rsidRPr="00E94117" w:rsidRDefault="00B6240D" w:rsidP="00AD28EA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3612" w:type="dxa"/>
          </w:tcPr>
          <w:p w14:paraId="06BBE72B" w14:textId="77777777" w:rsidR="00882B90" w:rsidRDefault="00B6240D" w:rsidP="00AD28EA">
            <w:pPr>
              <w:rPr>
                <w:rFonts w:ascii="Arial Narrow" w:hAnsi="Arial Narrow"/>
                <w:sz w:val="28"/>
                <w:szCs w:val="28"/>
              </w:rPr>
            </w:pPr>
            <w:r w:rsidRPr="00E94117">
              <w:rPr>
                <w:rFonts w:ascii="Arial Narrow" w:hAnsi="Arial Narrow"/>
                <w:sz w:val="28"/>
                <w:szCs w:val="28"/>
              </w:rPr>
              <w:t>Within 180 days of start-up</w:t>
            </w:r>
          </w:p>
          <w:p w14:paraId="5A6322A8" w14:textId="71A00887" w:rsidR="00B6240D" w:rsidRPr="00E94117" w:rsidRDefault="00B6240D" w:rsidP="00AD28EA">
            <w:pPr>
              <w:rPr>
                <w:rFonts w:ascii="Arial Narrow" w:hAnsi="Arial Narrow"/>
                <w:sz w:val="28"/>
                <w:szCs w:val="28"/>
              </w:rPr>
            </w:pPr>
            <w:r w:rsidRPr="00E94117">
              <w:rPr>
                <w:rFonts w:ascii="Arial Narrow" w:hAnsi="Arial Narrow"/>
                <w:sz w:val="28"/>
                <w:szCs w:val="28"/>
              </w:rPr>
              <w:t xml:space="preserve">Must notify regulatory agency 60 calendar days prior to testing date.  </w:t>
            </w:r>
            <w:r w:rsidRPr="00E94117">
              <w:rPr>
                <w:rFonts w:ascii="Arial Narrow" w:hAnsi="Arial Narrow"/>
                <w:b/>
                <w:bCs/>
                <w:sz w:val="28"/>
                <w:szCs w:val="28"/>
              </w:rPr>
              <w:t>40 CFR 63.8</w:t>
            </w:r>
          </w:p>
          <w:p w14:paraId="28355BDA" w14:textId="77777777" w:rsidR="00B6240D" w:rsidRPr="00E94117" w:rsidRDefault="00B6240D" w:rsidP="00AD28EA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B6240D" w:rsidRPr="00E94117" w14:paraId="492B63AD" w14:textId="77777777" w:rsidTr="00E94117">
        <w:tc>
          <w:tcPr>
            <w:tcW w:w="2685" w:type="dxa"/>
          </w:tcPr>
          <w:p w14:paraId="1535884B" w14:textId="77777777" w:rsidR="00B6240D" w:rsidRPr="00E94117" w:rsidRDefault="00B6240D" w:rsidP="00AD28EA">
            <w:pPr>
              <w:rPr>
                <w:rFonts w:ascii="Arial Narrow" w:hAnsi="Arial Narrow"/>
                <w:sz w:val="28"/>
                <w:szCs w:val="28"/>
              </w:rPr>
            </w:pPr>
            <w:r w:rsidRPr="00E94117">
              <w:rPr>
                <w:rFonts w:ascii="Arial Narrow" w:hAnsi="Arial Narrow"/>
                <w:b/>
                <w:bCs/>
                <w:sz w:val="28"/>
                <w:szCs w:val="28"/>
              </w:rPr>
              <w:t>40 CFR Part 75</w:t>
            </w:r>
          </w:p>
          <w:p w14:paraId="41BA5A5F" w14:textId="77777777" w:rsidR="00B6240D" w:rsidRPr="00E94117" w:rsidRDefault="00B6240D" w:rsidP="00AD28EA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500" w:type="dxa"/>
          </w:tcPr>
          <w:p w14:paraId="2529C009" w14:textId="77777777" w:rsidR="00B6240D" w:rsidRPr="00E94117" w:rsidRDefault="00B6240D" w:rsidP="00AD28EA">
            <w:pPr>
              <w:rPr>
                <w:rFonts w:ascii="Arial Narrow" w:hAnsi="Arial Narrow"/>
                <w:sz w:val="28"/>
                <w:szCs w:val="28"/>
              </w:rPr>
            </w:pPr>
            <w:r w:rsidRPr="00E94117">
              <w:rPr>
                <w:rFonts w:ascii="Arial Narrow" w:hAnsi="Arial Narrow"/>
                <w:sz w:val="28"/>
                <w:szCs w:val="28"/>
              </w:rPr>
              <w:t>N/A</w:t>
            </w:r>
          </w:p>
        </w:tc>
        <w:tc>
          <w:tcPr>
            <w:tcW w:w="3612" w:type="dxa"/>
          </w:tcPr>
          <w:p w14:paraId="4DB8E4B9" w14:textId="23740DD1" w:rsidR="00B6240D" w:rsidRPr="00E94117" w:rsidRDefault="00B6240D" w:rsidP="00AD28EA">
            <w:pPr>
              <w:rPr>
                <w:rFonts w:ascii="Arial Narrow" w:hAnsi="Arial Narrow"/>
                <w:sz w:val="28"/>
                <w:szCs w:val="28"/>
              </w:rPr>
            </w:pPr>
            <w:r w:rsidRPr="00E94117">
              <w:rPr>
                <w:rFonts w:ascii="Arial Narrow" w:hAnsi="Arial Narrow"/>
                <w:sz w:val="28"/>
                <w:szCs w:val="28"/>
              </w:rPr>
              <w:t>Within 180 days of start-up</w:t>
            </w:r>
          </w:p>
        </w:tc>
      </w:tr>
    </w:tbl>
    <w:p w14:paraId="49F61080" w14:textId="528EB075" w:rsidR="00B6240D" w:rsidRDefault="00B6240D">
      <w:pPr>
        <w:rPr>
          <w:rFonts w:ascii="Articulate Narrow" w:eastAsia="+mn-ea" w:hAnsi="Articulate Narrow" w:cstheme="minorHAnsi"/>
          <w:b/>
          <w:bCs/>
          <w:noProof/>
          <w:kern w:val="24"/>
          <w:sz w:val="48"/>
          <w:szCs w:val="48"/>
        </w:rPr>
      </w:pPr>
      <w:bookmarkStart w:id="0" w:name="_GoBack"/>
      <w:bookmarkEnd w:id="0"/>
    </w:p>
    <w:sectPr w:rsidR="00B6240D" w:rsidSect="00BC78EF">
      <w:headerReference w:type="default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E31D82" w14:textId="77777777" w:rsidR="005859E8" w:rsidRDefault="005859E8" w:rsidP="00932BFE">
      <w:pPr>
        <w:spacing w:after="0" w:line="240" w:lineRule="auto"/>
      </w:pPr>
      <w:r>
        <w:separator/>
      </w:r>
    </w:p>
  </w:endnote>
  <w:endnote w:type="continuationSeparator" w:id="0">
    <w:p w14:paraId="3BE9CD04" w14:textId="77777777" w:rsidR="005859E8" w:rsidRDefault="005859E8" w:rsidP="00932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ticulate Narrow">
    <w:panose1 w:val="02000506040000020004"/>
    <w:charset w:val="00"/>
    <w:family w:val="auto"/>
    <w:pitch w:val="variable"/>
    <w:sig w:usb0="8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42843612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14:paraId="1FF1C886" w14:textId="4568C325" w:rsidR="00932BFE" w:rsidRDefault="00932BFE" w:rsidP="009B0DFE">
        <w:pPr>
          <w:pStyle w:val="Footer"/>
          <w:pBdr>
            <w:top w:val="single" w:sz="4" w:space="1" w:color="A6A6A6" w:themeColor="background1" w:themeShade="A6"/>
          </w:pBdr>
          <w:tabs>
            <w:tab w:val="clear" w:pos="9360"/>
            <w:tab w:val="right" w:pos="10620"/>
          </w:tabs>
          <w:rPr>
            <w:color w:val="7F7F7F" w:themeColor="background1" w:themeShade="7F"/>
            <w:spacing w:val="60"/>
          </w:rPr>
        </w:pPr>
        <w:r>
          <w:rPr>
            <w:noProof/>
          </w:rPr>
          <w:drawing>
            <wp:inline distT="0" distB="0" distL="0" distR="0" wp14:anchorId="19A6818B" wp14:editId="0728E1C5">
              <wp:extent cx="581438" cy="179277"/>
              <wp:effectExtent l="0" t="0" r="0" b="0"/>
              <wp:docPr id="56" name="Picture 56" descr="EPA log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" name="epa_logo_green_sm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81438" cy="17927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9B0DFE">
          <w:tab/>
        </w:r>
        <w:r w:rsidR="009B0DFE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  <w:r>
          <w:t xml:space="preserve"> | </w:t>
        </w:r>
        <w:r w:rsidRPr="006712A3">
          <w:rPr>
            <w:spacing w:val="60"/>
          </w:rPr>
          <w:t>Page</w:t>
        </w:r>
      </w:p>
    </w:sdtContent>
  </w:sdt>
  <w:p w14:paraId="4A87E0DE" w14:textId="77777777" w:rsidR="00932BFE" w:rsidRDefault="00932B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82F93B" w14:textId="77777777" w:rsidR="005859E8" w:rsidRDefault="005859E8" w:rsidP="00932BFE">
      <w:pPr>
        <w:spacing w:after="0" w:line="240" w:lineRule="auto"/>
      </w:pPr>
      <w:r>
        <w:separator/>
      </w:r>
    </w:p>
  </w:footnote>
  <w:footnote w:type="continuationSeparator" w:id="0">
    <w:p w14:paraId="11D4A6FD" w14:textId="77777777" w:rsidR="005859E8" w:rsidRDefault="005859E8" w:rsidP="00932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71CC45" w14:textId="26F698FF" w:rsidR="00932BFE" w:rsidRDefault="00B6240D" w:rsidP="00932BFE">
    <w:pPr>
      <w:pStyle w:val="Header"/>
      <w:pBdr>
        <w:bottom w:val="single" w:sz="4" w:space="1" w:color="A6A6A6" w:themeColor="background1" w:themeShade="A6"/>
      </w:pBdr>
    </w:pPr>
    <w:r>
      <w:t>Performance Testing</w:t>
    </w:r>
    <w:r w:rsidR="00932BFE">
      <w:t xml:space="preserve"> </w:t>
    </w:r>
    <w:r w:rsidR="00932BFE">
      <w:rPr>
        <w:rFonts w:ascii="Arial Nova" w:hAnsi="Arial Nova"/>
      </w:rPr>
      <w:t>•</w:t>
    </w:r>
    <w:r w:rsidR="00932BFE">
      <w:t xml:space="preserve"> Module 3</w:t>
    </w:r>
  </w:p>
  <w:p w14:paraId="43E546CB" w14:textId="77777777" w:rsidR="00932BFE" w:rsidRDefault="00932B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B43A74"/>
    <w:multiLevelType w:val="multilevel"/>
    <w:tmpl w:val="63320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2F743F"/>
    <w:multiLevelType w:val="hybridMultilevel"/>
    <w:tmpl w:val="B3AC581E"/>
    <w:lvl w:ilvl="0" w:tplc="D7FECA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F6970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F4BF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8081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805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4648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66BE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6AF6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6274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CE32A6D"/>
    <w:multiLevelType w:val="hybridMultilevel"/>
    <w:tmpl w:val="BE44BE28"/>
    <w:lvl w:ilvl="0" w:tplc="891ECB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E800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F4CA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509E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D6D4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4CBF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7E1D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C668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38C4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74AD67F1"/>
    <w:multiLevelType w:val="hybridMultilevel"/>
    <w:tmpl w:val="CC9403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09E"/>
    <w:rsid w:val="00055104"/>
    <w:rsid w:val="00074842"/>
    <w:rsid w:val="00074A49"/>
    <w:rsid w:val="00077C8B"/>
    <w:rsid w:val="00085AB2"/>
    <w:rsid w:val="000B0370"/>
    <w:rsid w:val="000E3C8D"/>
    <w:rsid w:val="001013A8"/>
    <w:rsid w:val="001133AE"/>
    <w:rsid w:val="00117463"/>
    <w:rsid w:val="001232D9"/>
    <w:rsid w:val="00187553"/>
    <w:rsid w:val="001941FD"/>
    <w:rsid w:val="00194560"/>
    <w:rsid w:val="001B145D"/>
    <w:rsid w:val="001D340B"/>
    <w:rsid w:val="001D3D21"/>
    <w:rsid w:val="001F6A8A"/>
    <w:rsid w:val="002011C7"/>
    <w:rsid w:val="00221B8F"/>
    <w:rsid w:val="00230A0B"/>
    <w:rsid w:val="00273778"/>
    <w:rsid w:val="00291CD0"/>
    <w:rsid w:val="00294049"/>
    <w:rsid w:val="002A32EE"/>
    <w:rsid w:val="002A52CF"/>
    <w:rsid w:val="002B2C12"/>
    <w:rsid w:val="002B5DF7"/>
    <w:rsid w:val="002D2817"/>
    <w:rsid w:val="002D59D4"/>
    <w:rsid w:val="002F3801"/>
    <w:rsid w:val="002F609E"/>
    <w:rsid w:val="00333F38"/>
    <w:rsid w:val="00336621"/>
    <w:rsid w:val="0035085A"/>
    <w:rsid w:val="003E24DC"/>
    <w:rsid w:val="00400DF5"/>
    <w:rsid w:val="00410E1E"/>
    <w:rsid w:val="00425659"/>
    <w:rsid w:val="00432132"/>
    <w:rsid w:val="00486E84"/>
    <w:rsid w:val="004A518D"/>
    <w:rsid w:val="004D0A38"/>
    <w:rsid w:val="004D5F16"/>
    <w:rsid w:val="004E3244"/>
    <w:rsid w:val="004E6E24"/>
    <w:rsid w:val="00550A62"/>
    <w:rsid w:val="0056111C"/>
    <w:rsid w:val="00561251"/>
    <w:rsid w:val="0056249F"/>
    <w:rsid w:val="00580E84"/>
    <w:rsid w:val="00581D59"/>
    <w:rsid w:val="005859E8"/>
    <w:rsid w:val="005B5611"/>
    <w:rsid w:val="005C7F6B"/>
    <w:rsid w:val="005D7682"/>
    <w:rsid w:val="005E1FE5"/>
    <w:rsid w:val="005E5E6C"/>
    <w:rsid w:val="005E71E7"/>
    <w:rsid w:val="0061386F"/>
    <w:rsid w:val="00620EFD"/>
    <w:rsid w:val="006259B0"/>
    <w:rsid w:val="00666581"/>
    <w:rsid w:val="006712A3"/>
    <w:rsid w:val="00697C4A"/>
    <w:rsid w:val="006A2C28"/>
    <w:rsid w:val="006C4116"/>
    <w:rsid w:val="007976A2"/>
    <w:rsid w:val="007C57C6"/>
    <w:rsid w:val="007D580E"/>
    <w:rsid w:val="007D5E36"/>
    <w:rsid w:val="007D76BA"/>
    <w:rsid w:val="007F04C2"/>
    <w:rsid w:val="00825BE4"/>
    <w:rsid w:val="00826EDA"/>
    <w:rsid w:val="0085648C"/>
    <w:rsid w:val="00875E6F"/>
    <w:rsid w:val="00882B90"/>
    <w:rsid w:val="008A21F9"/>
    <w:rsid w:val="008B3C1D"/>
    <w:rsid w:val="00932BFE"/>
    <w:rsid w:val="00944E4E"/>
    <w:rsid w:val="009B0DFE"/>
    <w:rsid w:val="009F76DB"/>
    <w:rsid w:val="00AC23B1"/>
    <w:rsid w:val="00B00B88"/>
    <w:rsid w:val="00B073B8"/>
    <w:rsid w:val="00B20B90"/>
    <w:rsid w:val="00B45798"/>
    <w:rsid w:val="00B6240D"/>
    <w:rsid w:val="00B764E6"/>
    <w:rsid w:val="00B8785E"/>
    <w:rsid w:val="00BB2CFB"/>
    <w:rsid w:val="00BB2E6C"/>
    <w:rsid w:val="00BC78EF"/>
    <w:rsid w:val="00BE6A76"/>
    <w:rsid w:val="00C13AB5"/>
    <w:rsid w:val="00C432FF"/>
    <w:rsid w:val="00C437F0"/>
    <w:rsid w:val="00C44AF9"/>
    <w:rsid w:val="00C67060"/>
    <w:rsid w:val="00CB197D"/>
    <w:rsid w:val="00D001D9"/>
    <w:rsid w:val="00D065C8"/>
    <w:rsid w:val="00D30DD1"/>
    <w:rsid w:val="00D64245"/>
    <w:rsid w:val="00D95177"/>
    <w:rsid w:val="00DA0F97"/>
    <w:rsid w:val="00DD654E"/>
    <w:rsid w:val="00DF0B51"/>
    <w:rsid w:val="00E509F4"/>
    <w:rsid w:val="00E6448A"/>
    <w:rsid w:val="00E94117"/>
    <w:rsid w:val="00ED493B"/>
    <w:rsid w:val="00F26B7B"/>
    <w:rsid w:val="00F40F6E"/>
    <w:rsid w:val="00F41D21"/>
    <w:rsid w:val="00F649BF"/>
    <w:rsid w:val="00FD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C85B21"/>
  <w15:chartTrackingRefBased/>
  <w15:docId w15:val="{8C705223-51E2-4939-A6FD-22D2B3CE3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6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1D3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259B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073B8"/>
    <w:rPr>
      <w:b/>
      <w:bCs/>
    </w:rPr>
  </w:style>
  <w:style w:type="paragraph" w:customStyle="1" w:styleId="Default">
    <w:name w:val="Default"/>
    <w:rsid w:val="002B2C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A3"/>
    <w:uiPriority w:val="99"/>
    <w:rsid w:val="00D065C8"/>
    <w:rPr>
      <w:color w:val="000000"/>
      <w:sz w:val="18"/>
      <w:szCs w:val="18"/>
    </w:rPr>
  </w:style>
  <w:style w:type="paragraph" w:styleId="NormalWeb">
    <w:name w:val="Normal (Web)"/>
    <w:basedOn w:val="Normal"/>
    <w:uiPriority w:val="99"/>
    <w:unhideWhenUsed/>
    <w:rsid w:val="00D065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20E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0E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0E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0E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0EF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0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EFD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932BF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32B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2BFE"/>
  </w:style>
  <w:style w:type="paragraph" w:styleId="Footer">
    <w:name w:val="footer"/>
    <w:basedOn w:val="Normal"/>
    <w:link w:val="FooterChar"/>
    <w:uiPriority w:val="99"/>
    <w:unhideWhenUsed/>
    <w:rsid w:val="00932B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2BFE"/>
  </w:style>
  <w:style w:type="table" w:styleId="GridTable2-Accent6">
    <w:name w:val="Grid Table 2 Accent 6"/>
    <w:basedOn w:val="TableNormal"/>
    <w:uiPriority w:val="47"/>
    <w:rsid w:val="00932BFE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2-Accent5">
    <w:name w:val="Grid Table 2 Accent 5"/>
    <w:basedOn w:val="TableNormal"/>
    <w:uiPriority w:val="47"/>
    <w:rsid w:val="00932BFE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1Light-Accent3">
    <w:name w:val="Grid Table 1 Light Accent 3"/>
    <w:basedOn w:val="TableNormal"/>
    <w:uiPriority w:val="46"/>
    <w:rsid w:val="00932BFE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932BFE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Light">
    <w:name w:val="Grid Table Light"/>
    <w:basedOn w:val="TableNormal"/>
    <w:uiPriority w:val="40"/>
    <w:rsid w:val="00932BF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Paragraph">
    <w:name w:val="List Paragraph"/>
    <w:basedOn w:val="Normal"/>
    <w:uiPriority w:val="34"/>
    <w:qFormat/>
    <w:rsid w:val="00B624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56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6426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398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0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90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8984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26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076944">
                              <w:marLeft w:val="0"/>
                              <w:marRight w:val="4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28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6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14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8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76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533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063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856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22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1166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0529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059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1072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51350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9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0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e3f09c3df709400db2417a7161762d62 xmlns="22d004a6-2f8d-4a75-9f1d-859e2ae55add">
      <Terms xmlns="http://schemas.microsoft.com/office/infopath/2007/PartnerControls"/>
    </e3f09c3df709400db2417a7161762d62>
    <Document_x0020_Creation_x0020_Date xmlns="4ffa91fb-a0ff-4ac5-b2db-65c790d184a4">2020-05-06T04:00:00+00:00</Document_x0020_Creation_x0020_Date>
    <EPA_x0020_Office xmlns="4ffa91fb-a0ff-4ac5-b2db-65c790d184a4">Not Found!</EPA_x0020_Office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>Scarlett, Tammy</DisplayName>
        <AccountId>11985</AccountId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 xsi:nil="true"/>
    <MediaLengthInSeconds xmlns="7ca2beb3-1377-461b-b2b4-dd4dfd03076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D1AE864022FC4AB1940C9ACBC18425" ma:contentTypeVersion="19" ma:contentTypeDescription="Create a new document." ma:contentTypeScope="" ma:versionID="0c5c5939c7679f1f3fc34bf28d89cc4f">
  <xsd:schema xmlns:xsd="http://www.w3.org/2001/XMLSchema" xmlns:xs="http://www.w3.org/2001/XMLSchema" xmlns:p="http://schemas.microsoft.com/office/2006/metadata/properties" xmlns:ns1="http://schemas.microsoft.com/sharepoint/v3" xmlns:ns2="4ffa91fb-a0ff-4ac5-b2db-65c790d184a4" xmlns:ns3="http://schemas.microsoft.com/sharepoint.v3" xmlns:ns4="http://schemas.microsoft.com/sharepoint/v3/fields" xmlns:ns5="7ca2beb3-1377-461b-b2b4-dd4dfd030764" xmlns:ns6="22d004a6-2f8d-4a75-9f1d-859e2ae55add" targetNamespace="http://schemas.microsoft.com/office/2006/metadata/properties" ma:root="true" ma:fieldsID="1182d8e62c7ea203c520ac9a7a3b90be" ns1:_="" ns2:_="" ns3:_="" ns4:_="" ns5:_="" ns6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7ca2beb3-1377-461b-b2b4-dd4dfd030764"/>
    <xsd:import namespace="22d004a6-2f8d-4a75-9f1d-859e2ae55add"/>
    <xsd:element name="properties">
      <xsd:complexType>
        <xsd:sequence>
          <xsd:element name="documentManagement">
            <xsd:complexType>
              <xsd:all>
                <xsd:element ref="ns2:Document_x0020_Creation_x0020_Date" minOccurs="0"/>
                <xsd:element ref="ns2:Creator" minOccurs="0"/>
                <xsd:element ref="ns2:EPA_x0020_Office" minOccurs="0"/>
                <xsd:element ref="ns2:Record"/>
                <xsd:element ref="ns3:CategoryDescription" minOccurs="0"/>
                <xsd:element ref="ns2:Identifier" minOccurs="0"/>
                <xsd:element ref="ns2:EPA_x0020_Contributor" minOccurs="0"/>
                <xsd:element ref="ns2:External_x0020_Contributor" minOccurs="0"/>
                <xsd:element ref="ns4:_Coverage" minOccurs="0"/>
                <xsd:element ref="ns2:EPA_x0020_Related_x0020_Documents" minOccurs="0"/>
                <xsd:element ref="ns4:_Source" minOccurs="0"/>
                <xsd:element ref="ns2:Rights" minOccurs="0"/>
                <xsd:element ref="ns1:Language" minOccurs="0"/>
                <xsd:element ref="ns2:j747ac98061d40f0aa7bd47e1db5675d" minOccurs="0"/>
                <xsd:element ref="ns2:TaxKeywordTaxHTField" minOccurs="0"/>
                <xsd:element ref="ns2:TaxCatchAllLabel" minOccurs="0"/>
                <xsd:element ref="ns2:TaxCatchAll" minOccurs="0"/>
                <xsd:element ref="ns5:MediaServiceMetadata" minOccurs="0"/>
                <xsd:element ref="ns5:MediaServiceFastMetadata" minOccurs="0"/>
                <xsd:element ref="ns5:MediaLengthInSeconds" minOccurs="0"/>
                <xsd:element ref="ns5:MediaServiceDateTaken" minOccurs="0"/>
                <xsd:element ref="ns6:SharedWithUsers" minOccurs="0"/>
                <xsd:element ref="ns6:SharedWithDetails" minOccurs="0"/>
                <xsd:element ref="ns5:MediaServiceObjectDetectorVersions" minOccurs="0"/>
                <xsd:element ref="ns5:MediaServiceGenerationTime" minOccurs="0"/>
                <xsd:element ref="ns5:MediaServiceEventHashCode" minOccurs="0"/>
                <xsd:element ref="ns6:e3f09c3df709400db2417a7161762d6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 ma:readOnly="false">
      <xsd:simpleType>
        <xsd:restriction base="dms:Text">
          <xsd:maxLength value="255"/>
        </xsd:restriction>
      </xsd:simpleType>
    </xsd:element>
    <xsd:element name="Record" ma:index="5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 ma:readOnly="false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description="" ma:hidden="true" ma:list="{54f485cd-92c0-4abe-a378-745fe4335b12}" ma:internalName="TaxCatchAllLabel" ma:readOnly="true" ma:showField="CatchAllDataLabel" ma:web="22d004a6-2f8d-4a75-9f1d-859e2ae55a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description="" ma:hidden="true" ma:list="{54f485cd-92c0-4abe-a378-745fe4335b12}" ma:internalName="TaxCatchAll" ma:showField="CatchAllData" ma:web="22d004a6-2f8d-4a75-9f1d-859e2ae55a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a2beb3-1377-461b-b2b4-dd4dfd0307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3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3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3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004a6-2f8d-4a75-9f1d-859e2ae55add" elementFormDefault="qualified">
    <xsd:import namespace="http://schemas.microsoft.com/office/2006/documentManagement/types"/>
    <xsd:import namespace="http://schemas.microsoft.com/office/infopath/2007/PartnerControls"/>
    <xsd:element name="SharedWithUsers" ma:index="3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e3f09c3df709400db2417a7161762d62" ma:index="37" nillable="true" ma:taxonomy="true" ma:internalName="e3f09c3df709400db2417a7161762d62" ma:taxonomyFieldName="EPA_x0020_Subject" ma:displayName="EPA Subject" ma:readOnly="false" ma:default="" ma:fieldId="{e3f09c3d-f709-400d-b241-7a7161762d62}" ma:taxonomyMulti="true" ma:sspId="29f62856-1543-49d4-a736-4569d363f533" ma:termSetId="7a3d4ae0-7e62-45a2-a406-c6a8a6a8eee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29f62856-1543-49d4-a736-4569d363f533" ContentTypeId="0x0101" PreviousValue="false"/>
</file>

<file path=customXml/itemProps1.xml><?xml version="1.0" encoding="utf-8"?>
<ds:datastoreItem xmlns:ds="http://schemas.openxmlformats.org/officeDocument/2006/customXml" ds:itemID="{13EDEB11-F2A7-46CB-A707-34FB05AF68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AAF493-31A8-43F3-BF85-E8951C512BF8}">
  <ds:schemaRefs>
    <ds:schemaRef ds:uri="http://schemas.microsoft.com/office/2006/metadata/properties"/>
    <ds:schemaRef ds:uri="http://schemas.microsoft.com/office/infopath/2007/PartnerControls"/>
    <ds:schemaRef ds:uri="a946c7e2-e968-47fa-b743-9bb460e7e0dc"/>
  </ds:schemaRefs>
</ds:datastoreItem>
</file>

<file path=customXml/itemProps3.xml><?xml version="1.0" encoding="utf-8"?>
<ds:datastoreItem xmlns:ds="http://schemas.openxmlformats.org/officeDocument/2006/customXml" ds:itemID="{B66F34F9-0E93-4383-87D6-9DAE41BC5693}"/>
</file>

<file path=customXml/itemProps4.xml><?xml version="1.0" encoding="utf-8"?>
<ds:datastoreItem xmlns:ds="http://schemas.openxmlformats.org/officeDocument/2006/customXml" ds:itemID="{D2BA256C-BD3C-40D8-92CB-FF0E2A74A91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Garnett, Kim</dc:creator>
  <cp:keywords/>
  <dc:description/>
  <cp:lastModifiedBy>Tammy Scarlett</cp:lastModifiedBy>
  <cp:revision>28</cp:revision>
  <cp:lastPrinted>2019-06-26T17:14:00Z</cp:lastPrinted>
  <dcterms:created xsi:type="dcterms:W3CDTF">2019-11-19T15:25:00Z</dcterms:created>
  <dcterms:modified xsi:type="dcterms:W3CDTF">2020-05-04T15:13:00Z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0x010100B8D1AE864022FC4AB1940C9ACBC18425</vt:lpwstr>
  </property>
  <property fmtid="{D5CDD505-2E9C-101B-9397-08002B2CF9AE}" pid="3" name="TaxKeyword">
    <vt:lpwstr/>
  </property>
  <property fmtid="{D5CDD505-2E9C-101B-9397-08002B2CF9AE}" pid="4" name="EPA Subject">
    <vt:lpwstr/>
  </property>
  <property fmtid="{D5CDD505-2E9C-101B-9397-08002B2CF9AE}" pid="5" name="Document Type">
    <vt:lpwstr/>
  </property>
  <property fmtid="{D5CDD505-2E9C-101B-9397-08002B2CF9AE}" pid="6" name="Order">
    <vt:r8>966900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</Properties>
</file>